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auto"/>
        <w:jc w:val="center"/>
        <w:rPr>
          <w:rFonts w:hint="default" w:ascii="Arial" w:eastAsia="宋体"/>
          <w:b/>
          <w:bCs/>
          <w:sz w:val="32"/>
          <w:szCs w:val="32"/>
          <w:lang w:val="en-US" w:eastAsia="zh-CN"/>
        </w:rPr>
      </w:pPr>
      <w:r>
        <w:rPr>
          <w:rFonts w:hint="eastAsia" w:ascii="宋体" w:hAnsi="宋体" w:eastAsia="宋体" w:cs="宋体"/>
          <w:b/>
          <w:bCs/>
          <w:sz w:val="32"/>
          <w:szCs w:val="32"/>
          <w:lang w:val="en-US" w:eastAsia="zh-CN"/>
        </w:rPr>
        <w:t>2023-2024年度粤传媒总部及下属分子公司机动车保险服务项目采购文件</w:t>
      </w:r>
    </w:p>
    <w:p>
      <w:pPr>
        <w:spacing w:line="281" w:lineRule="auto"/>
        <w:rPr>
          <w:rFonts w:ascii="Arial"/>
          <w:sz w:val="21"/>
        </w:rPr>
      </w:pPr>
    </w:p>
    <w:p>
      <w:pPr>
        <w:spacing w:line="360" w:lineRule="auto"/>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第一部分 采购公告</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粤传媒拟</w:t>
      </w:r>
      <w:r>
        <w:rPr>
          <w:rFonts w:hint="eastAsia" w:ascii="宋体" w:hAnsi="宋体" w:eastAsia="宋体" w:cs="宋体"/>
          <w:sz w:val="28"/>
          <w:szCs w:val="28"/>
          <w:lang w:val="en-US" w:eastAsia="zh-CN"/>
        </w:rPr>
        <w:t>采购2023-2024年度粤传媒总部及下属分子公司机动车保险服务，</w:t>
      </w:r>
      <w:r>
        <w:rPr>
          <w:rFonts w:hint="eastAsia" w:ascii="宋体" w:hAnsi="宋体" w:eastAsia="宋体" w:cs="宋体"/>
          <w:sz w:val="28"/>
          <w:szCs w:val="28"/>
        </w:rPr>
        <w:t>通过询价方式选择服务单位，欢迎贵司参加本次报价。现将有关事宜说明如下：</w:t>
      </w:r>
    </w:p>
    <w:p>
      <w:pPr>
        <w:spacing w:line="360" w:lineRule="auto"/>
        <w:ind w:firstLine="560" w:firstLineChars="200"/>
        <w:rPr>
          <w:rFonts w:hint="default" w:ascii="宋体" w:hAnsi="宋体" w:eastAsia="宋体" w:cs="宋体"/>
          <w:sz w:val="28"/>
          <w:szCs w:val="28"/>
          <w:lang w:val="en-US"/>
        </w:rPr>
      </w:pPr>
      <w:r>
        <w:rPr>
          <w:rFonts w:hint="eastAsia" w:ascii="黑体" w:hAnsi="黑体" w:eastAsia="黑体" w:cs="黑体"/>
          <w:sz w:val="28"/>
          <w:szCs w:val="28"/>
        </w:rPr>
        <w:t>一、项目名称：</w:t>
      </w:r>
      <w:r>
        <w:rPr>
          <w:rFonts w:hint="eastAsia" w:ascii="宋体" w:hAnsi="宋体" w:eastAsia="宋体" w:cs="宋体"/>
          <w:sz w:val="28"/>
          <w:szCs w:val="28"/>
          <w:lang w:val="en-US" w:eastAsia="zh-CN"/>
        </w:rPr>
        <w:t>2023-2024年度粤传媒总部及下属分子公司机动车保险服务项目</w:t>
      </w:r>
    </w:p>
    <w:p>
      <w:pPr>
        <w:spacing w:line="360" w:lineRule="auto"/>
        <w:ind w:firstLine="560" w:firstLineChars="20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二、实施地址：</w:t>
      </w:r>
      <w:r>
        <w:rPr>
          <w:rFonts w:hint="eastAsia" w:ascii="宋体" w:hAnsi="宋体" w:eastAsia="宋体" w:cs="宋体"/>
          <w:sz w:val="28"/>
          <w:szCs w:val="28"/>
          <w:lang w:val="en-US" w:eastAsia="zh-CN"/>
        </w:rPr>
        <w:t>中国境内</w:t>
      </w:r>
    </w:p>
    <w:p>
      <w:pPr>
        <w:spacing w:line="360" w:lineRule="auto"/>
        <w:ind w:firstLine="560" w:firstLineChars="200"/>
        <w:rPr>
          <w:rFonts w:hint="default"/>
          <w:kern w:val="28"/>
          <w:lang w:val="en-US"/>
        </w:rPr>
      </w:pPr>
      <w:r>
        <w:rPr>
          <w:rFonts w:hint="eastAsia" w:ascii="黑体" w:hAnsi="黑体" w:eastAsia="黑体" w:cs="黑体"/>
          <w:sz w:val="28"/>
          <w:szCs w:val="28"/>
          <w:lang w:val="en-US" w:eastAsia="zh-CN"/>
        </w:rPr>
        <w:t>三</w:t>
      </w:r>
      <w:r>
        <w:rPr>
          <w:rFonts w:hint="eastAsia" w:ascii="黑体" w:hAnsi="黑体" w:eastAsia="黑体" w:cs="黑体"/>
          <w:sz w:val="28"/>
          <w:szCs w:val="28"/>
        </w:rPr>
        <w:t>、项目内容</w:t>
      </w:r>
      <w:r>
        <w:rPr>
          <w:rFonts w:hint="eastAsia" w:ascii="黑体" w:hAnsi="黑体" w:eastAsia="黑体" w:cs="黑体"/>
          <w:sz w:val="28"/>
          <w:szCs w:val="28"/>
          <w:lang w:val="en-US" w:eastAsia="zh-CN"/>
        </w:rPr>
        <w:t>及要求</w:t>
      </w:r>
      <w:r>
        <w:rPr>
          <w:rFonts w:hint="eastAsia" w:ascii="黑体" w:hAnsi="黑体" w:eastAsia="黑体" w:cs="黑体"/>
          <w:sz w:val="28"/>
          <w:szCs w:val="28"/>
          <w:lang w:eastAsia="zh-CN"/>
        </w:rPr>
        <w:t>：</w:t>
      </w:r>
      <w:r>
        <w:rPr>
          <w:rFonts w:hint="eastAsia" w:ascii="宋体" w:hAnsi="宋体" w:eastAsia="宋体" w:cs="宋体"/>
          <w:sz w:val="28"/>
          <w:szCs w:val="28"/>
          <w:lang w:val="en-US" w:eastAsia="zh-CN"/>
        </w:rPr>
        <w:t>粤传媒总部及下属分子公司机动车共60辆的保险服务，车辆数量随采购人实际增购、报废变动，采购人保留对最终车数调整的权力。详见采购文件第二部分项目需求书。</w:t>
      </w:r>
    </w:p>
    <w:p>
      <w:pPr>
        <w:pStyle w:val="9"/>
        <w:spacing w:line="360" w:lineRule="auto"/>
        <w:ind w:firstLine="560" w:firstLineChars="200"/>
        <w:rPr>
          <w:rFonts w:hint="eastAsia" w:ascii="宋体" w:hAnsi="宋体" w:eastAsia="宋体" w:cs="宋体"/>
          <w:snapToGrid w:val="0"/>
          <w:color w:val="000000"/>
          <w:kern w:val="0"/>
          <w:sz w:val="28"/>
          <w:szCs w:val="28"/>
          <w:lang w:val="en-US" w:eastAsia="zh-CN"/>
        </w:rPr>
      </w:pPr>
      <w:r>
        <w:rPr>
          <w:rFonts w:hint="eastAsia" w:ascii="黑体" w:hAnsi="黑体" w:eastAsia="黑体" w:cs="黑体"/>
          <w:b w:val="0"/>
          <w:bCs w:val="0"/>
          <w:sz w:val="28"/>
          <w:szCs w:val="28"/>
          <w:lang w:val="en-US" w:eastAsia="zh-CN"/>
        </w:rPr>
        <w:t>四、服务期限：</w:t>
      </w:r>
      <w:r>
        <w:rPr>
          <w:rFonts w:hint="eastAsia" w:ascii="宋体" w:hAnsi="宋体" w:eastAsia="宋体" w:cs="宋体"/>
          <w:snapToGrid w:val="0"/>
          <w:color w:val="000000"/>
          <w:kern w:val="0"/>
          <w:sz w:val="28"/>
          <w:szCs w:val="28"/>
          <w:lang w:val="en-US" w:eastAsia="zh-CN"/>
        </w:rPr>
        <w:t>二年（具体以粤传媒或下属分子公司与</w:t>
      </w:r>
      <w:r>
        <w:rPr>
          <w:rFonts w:hint="eastAsia" w:ascii="宋体" w:hAnsi="宋体" w:cs="宋体"/>
          <w:snapToGrid w:val="0"/>
          <w:color w:val="000000"/>
          <w:kern w:val="0"/>
          <w:sz w:val="28"/>
          <w:szCs w:val="28"/>
          <w:lang w:val="en-US" w:eastAsia="zh-CN"/>
        </w:rPr>
        <w:t>中选人</w:t>
      </w:r>
      <w:r>
        <w:rPr>
          <w:rFonts w:hint="eastAsia" w:ascii="宋体" w:hAnsi="宋体" w:eastAsia="宋体" w:cs="宋体"/>
          <w:snapToGrid w:val="0"/>
          <w:color w:val="000000"/>
          <w:kern w:val="0"/>
          <w:sz w:val="28"/>
          <w:szCs w:val="28"/>
          <w:lang w:val="en-US" w:eastAsia="zh-CN"/>
        </w:rPr>
        <w:t>签署的保单或保险合同约定的服务期限为准,以每辆投保机动车实际参保的起始时间计算2年期）。</w:t>
      </w:r>
    </w:p>
    <w:p>
      <w:pPr>
        <w:spacing w:line="360" w:lineRule="auto"/>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五</w:t>
      </w:r>
      <w:r>
        <w:rPr>
          <w:rFonts w:hint="eastAsia" w:ascii="黑体" w:hAnsi="黑体" w:eastAsia="黑体" w:cs="黑体"/>
          <w:b w:val="0"/>
          <w:bCs w:val="0"/>
          <w:sz w:val="28"/>
          <w:szCs w:val="28"/>
        </w:rPr>
        <w:t>、报价人资质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pacing w:val="1"/>
          <w:sz w:val="28"/>
          <w:szCs w:val="28"/>
        </w:rPr>
      </w:pPr>
      <w:r>
        <w:rPr>
          <w:rFonts w:hint="eastAsia" w:ascii="宋体" w:hAnsi="宋体" w:eastAsia="宋体" w:cs="宋体"/>
          <w:sz w:val="28"/>
          <w:szCs w:val="28"/>
          <w:lang w:val="en-US" w:eastAsia="zh-CN"/>
        </w:rPr>
        <w:t>1.报价人应为在中华人民共和国注册的具有独立民事责任的法人或其他组织，取得合法企业工商营业执照（或事业单位法人证书，或社会团体法人登记证书）并具备与本项目相应的经营范围且在有效期内。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sz w:val="28"/>
          <w:szCs w:val="28"/>
          <w:lang w:val="zh-CN" w:eastAsia="zh-CN"/>
        </w:rPr>
      </w:pPr>
      <w:r>
        <w:rPr>
          <w:rFonts w:hint="eastAsia" w:ascii="宋体" w:hAnsi="宋体" w:eastAsia="宋体" w:cs="宋体"/>
          <w:sz w:val="28"/>
          <w:szCs w:val="28"/>
          <w:lang w:val="en-US" w:eastAsia="zh-CN"/>
        </w:rPr>
        <w:t>2.</w:t>
      </w:r>
      <w:r>
        <w:rPr>
          <w:rFonts w:hint="default" w:ascii="宋体" w:hAnsi="宋体" w:eastAsia="宋体" w:cs="宋体"/>
          <w:sz w:val="28"/>
          <w:szCs w:val="28"/>
          <w:lang w:val="zh-CN" w:eastAsia="zh-CN"/>
        </w:rPr>
        <w:t>分支机构</w:t>
      </w:r>
      <w:r>
        <w:rPr>
          <w:rFonts w:hint="eastAsia" w:ascii="宋体" w:hAnsi="宋体" w:eastAsia="宋体" w:cs="宋体"/>
          <w:sz w:val="28"/>
          <w:szCs w:val="28"/>
          <w:lang w:val="en-US" w:eastAsia="zh-CN"/>
        </w:rPr>
        <w:t>报价</w:t>
      </w:r>
      <w:r>
        <w:rPr>
          <w:rFonts w:hint="default" w:ascii="宋体" w:hAnsi="宋体" w:eastAsia="宋体" w:cs="宋体"/>
          <w:sz w:val="28"/>
          <w:szCs w:val="28"/>
          <w:lang w:val="zh-CN" w:eastAsia="zh-CN"/>
        </w:rPr>
        <w:t>的，须提供分支机构的营业执照及总公司出具的</w:t>
      </w:r>
      <w:r>
        <w:rPr>
          <w:rFonts w:hint="eastAsia" w:ascii="宋体" w:hAnsi="宋体" w:eastAsia="宋体" w:cs="宋体"/>
          <w:sz w:val="28"/>
          <w:szCs w:val="28"/>
          <w:lang w:val="zh-CN" w:eastAsia="zh-CN"/>
        </w:rPr>
        <w:t>唯一针对本项目的授权书</w:t>
      </w:r>
      <w:r>
        <w:rPr>
          <w:rFonts w:hint="default" w:ascii="宋体" w:hAnsi="宋体" w:eastAsia="宋体" w:cs="宋体"/>
          <w:sz w:val="28"/>
          <w:szCs w:val="28"/>
          <w:lang w:val="zh-CN" w:eastAsia="zh-CN"/>
        </w:rPr>
        <w:t>，授权书须加盖总公司公章。由总公司（总所）授权的，总公司取得的相关资质证书对分支机构有效，法律法规或者行业另有规定的除外。</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3.报价人在广州市具有经营机动车保险业务资质的保险公司，提供具有有效期内的《经营保险业务许可证》复印件加盖公章，并且经营范围须含机动车辆保险业务。</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3.报价人2020年1月至今具有广州市内单位机动车承保经验业绩（年度承保广州市内单位机动车不少于60辆，以合同签订时间为准），须提供合同关键页复印件，合同须有具体的车数（加盖公章）。</w:t>
      </w:r>
    </w:p>
    <w:p>
      <w:pPr>
        <w:widowControl/>
        <w:kinsoku/>
        <w:autoSpaceDE/>
        <w:autoSpaceDN/>
        <w:adjustRightInd/>
        <w:snapToGrid/>
        <w:spacing w:line="360" w:lineRule="auto"/>
        <w:ind w:firstLine="560" w:firstLineChars="200"/>
        <w:textAlignment w:val="auto"/>
        <w:rPr>
          <w:rFonts w:hint="default"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4.</w:t>
      </w:r>
      <w:r>
        <w:rPr>
          <w:rFonts w:hint="eastAsia" w:ascii="宋体" w:hAnsi="宋体" w:eastAsia="宋体" w:cs="宋体"/>
          <w:sz w:val="28"/>
          <w:szCs w:val="28"/>
          <w:lang w:val="en-US" w:eastAsia="zh-CN"/>
        </w:rPr>
        <w:t>报价人不得存在以下情况：（1）被责令停业；（2）被暂停或取消报价资格；（3）财产被接管或者冻结；（4）在最近三年内在经营活动中有重大违法记录、有重大未了结债务纠纷</w:t>
      </w:r>
      <w:r>
        <w:rPr>
          <w:rFonts w:hint="eastAsia" w:ascii="宋体" w:hAnsi="宋体" w:eastAsia="宋体" w:cs="宋体"/>
          <w:spacing w:val="0"/>
          <w:sz w:val="28"/>
          <w:szCs w:val="28"/>
          <w:lang w:val="en-US" w:eastAsia="zh-CN"/>
        </w:rPr>
        <w:t>（提供《报价人资格声明函》）</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5.单位负责人为同一人或者存在控股、管理关系的不同单位，不得参加同一项目（提供《报价人资格声明函》）；</w:t>
      </w:r>
    </w:p>
    <w:p>
      <w:pPr>
        <w:keepNext w:val="0"/>
        <w:keepLines w:val="0"/>
        <w:pageBreakBefore w:val="0"/>
        <w:widowControl/>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6.报价人参加报价的意思表达清楚，报价人代表被授权有效；</w:t>
      </w:r>
    </w:p>
    <w:p>
      <w:pPr>
        <w:widowControl/>
        <w:kinsoku/>
        <w:autoSpaceDE/>
        <w:autoSpaceDN/>
        <w:adjustRightInd/>
        <w:snapToGrid/>
        <w:spacing w:line="360" w:lineRule="auto"/>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pacing w:val="0"/>
          <w:sz w:val="28"/>
          <w:szCs w:val="28"/>
          <w:lang w:val="en-US" w:eastAsia="zh-CN"/>
        </w:rPr>
        <w:t>7.本项目不接受联合体参加。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8" w:right="59" w:firstLine="545"/>
        <w:textAlignment w:val="baseline"/>
        <w:rPr>
          <w:rFonts w:hint="eastAsia" w:ascii="仿宋" w:hAnsi="仿宋" w:eastAsia="仿宋" w:cs="仿宋"/>
          <w:spacing w:val="-23"/>
          <w:sz w:val="28"/>
          <w:szCs w:val="28"/>
          <w:lang w:val="en-US" w:eastAsia="zh-CN"/>
          <w14:textOutline w14:w="5094" w14:cap="flat" w14:cmpd="sng">
            <w14:solidFill>
              <w14:srgbClr w14:val="000000"/>
            </w14:solidFill>
            <w14:prstDash w14:val="solid"/>
            <w14:miter w14:val="0"/>
          </w14:textOutline>
        </w:rPr>
      </w:pPr>
      <w:r>
        <w:rPr>
          <w:rFonts w:hint="eastAsia" w:ascii="黑体" w:hAnsi="黑体" w:eastAsia="黑体" w:cs="黑体"/>
          <w:sz w:val="28"/>
          <w:szCs w:val="28"/>
          <w:lang w:val="en-US" w:eastAsia="zh-CN"/>
        </w:rPr>
        <w:t>六、采购信息发布媒介：</w:t>
      </w:r>
      <w:r>
        <w:rPr>
          <w:rFonts w:hint="eastAsia" w:ascii="宋体" w:hAnsi="宋体" w:eastAsia="宋体" w:cs="宋体"/>
          <w:spacing w:val="0"/>
          <w:sz w:val="28"/>
          <w:szCs w:val="28"/>
          <w:lang w:val="en-US" w:eastAsia="zh-CN"/>
        </w:rPr>
        <w:t>本项目采购公告在广州国企阳光采购信息发布平台（http://ygcg.gzggzy.cn/）和广东广州日报传媒股份有限公司官网（http://cg.gdgzrb.com/cms/）发布，公布之日起即视为有效送达。</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textAlignment w:val="baseline"/>
        <w:rPr>
          <w:rFonts w:hint="eastAsia" w:ascii="宋体" w:hAnsi="宋体" w:eastAsia="宋体" w:cs="宋体"/>
          <w:spacing w:val="0"/>
          <w:sz w:val="28"/>
          <w:szCs w:val="28"/>
          <w:lang w:val="en-US" w:eastAsia="zh-CN"/>
        </w:rPr>
      </w:pPr>
      <w:r>
        <w:rPr>
          <w:rFonts w:hint="eastAsia" w:ascii="黑体" w:hAnsi="黑体" w:eastAsia="黑体" w:cs="黑体"/>
          <w:sz w:val="28"/>
          <w:szCs w:val="28"/>
          <w:lang w:val="en-US" w:eastAsia="zh-CN"/>
        </w:rPr>
        <w:t>七、获取采购文件：</w:t>
      </w:r>
      <w:r>
        <w:rPr>
          <w:rFonts w:hint="eastAsia" w:ascii="宋体" w:hAnsi="宋体" w:eastAsia="宋体" w:cs="宋体"/>
          <w:spacing w:val="0"/>
          <w:sz w:val="28"/>
          <w:szCs w:val="28"/>
          <w:lang w:val="en-US" w:eastAsia="zh-CN"/>
        </w:rPr>
        <w:t>报价人可注册入驻粤传媒官网采购平台（https://cg.gdgzrb.com/cms/）下载获取采购文件。</w:t>
      </w:r>
    </w:p>
    <w:p>
      <w:pPr>
        <w:spacing w:line="360" w:lineRule="auto"/>
        <w:ind w:left="48" w:right="59" w:firstLine="545" w:firstLineChars="0"/>
        <w:rPr>
          <w:rFonts w:hint="default" w:ascii="宋体" w:hAnsi="宋体" w:eastAsia="宋体" w:cs="宋体"/>
          <w:spacing w:val="0"/>
          <w:sz w:val="28"/>
          <w:szCs w:val="28"/>
          <w:lang w:val="en-US" w:eastAsia="zh-CN"/>
        </w:rPr>
      </w:pPr>
      <w:r>
        <w:rPr>
          <w:rFonts w:hint="eastAsia" w:ascii="黑体" w:hAnsi="黑体" w:eastAsia="黑体" w:cs="黑体"/>
          <w:sz w:val="28"/>
          <w:szCs w:val="28"/>
          <w:lang w:val="en-US" w:eastAsia="zh-CN"/>
        </w:rPr>
        <w:t>八、评审方法：</w:t>
      </w:r>
      <w:r>
        <w:rPr>
          <w:rFonts w:hint="eastAsia" w:ascii="宋体" w:hAnsi="宋体" w:eastAsia="宋体" w:cs="宋体"/>
          <w:spacing w:val="0"/>
          <w:sz w:val="28"/>
          <w:szCs w:val="28"/>
          <w:lang w:val="en-US" w:eastAsia="zh-CN"/>
        </w:rPr>
        <w:t>满足采购文件要求，经评审的最低价格（折扣）中选；如价格（折扣）相同，则提供服务条件较优的单位中选。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8" w:right="59" w:firstLine="545"/>
        <w:textAlignment w:val="baseline"/>
        <w:rPr>
          <w:rFonts w:hint="eastAsia" w:ascii="宋体" w:hAnsi="宋体" w:eastAsia="宋体" w:cs="宋体"/>
          <w:sz w:val="28"/>
          <w:szCs w:val="28"/>
          <w:lang w:val="en-US" w:eastAsia="zh-CN"/>
        </w:rPr>
      </w:pPr>
      <w:r>
        <w:rPr>
          <w:rFonts w:hint="eastAsia" w:ascii="黑体" w:hAnsi="黑体" w:eastAsia="黑体" w:cs="黑体"/>
          <w:sz w:val="30"/>
          <w:szCs w:val="30"/>
          <w:lang w:val="en-US" w:eastAsia="zh-CN"/>
        </w:rPr>
        <w:t>九、响应文件提交：</w:t>
      </w:r>
      <w:r>
        <w:rPr>
          <w:rFonts w:hint="eastAsia" w:ascii="宋体" w:hAnsi="宋体" w:eastAsia="宋体" w:cs="宋体"/>
          <w:sz w:val="28"/>
          <w:szCs w:val="28"/>
          <w:lang w:val="en-US" w:eastAsia="zh-CN"/>
        </w:rPr>
        <w:t xml:space="preserve">响应文件提交截止时间2022年11月30日18时（北京时间）。响应文件须在截止时间前上传至粤传媒官网采购平台（https://cg.gdgzrb.com/cms/）。采购人有权要求报价人提供原件备查。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8" w:right="59" w:firstLine="545"/>
        <w:textAlignment w:val="baseline"/>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十、凡对本次采购提出询问，请按以下方式联系。</w:t>
      </w:r>
    </w:p>
    <w:p>
      <w:pPr>
        <w:widowControl/>
        <w:spacing w:line="360" w:lineRule="auto"/>
        <w:ind w:left="48" w:right="59" w:firstLine="545"/>
        <w:jc w:val="lef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采购单位：广东广州日报传媒股份有限公司</w:t>
      </w:r>
    </w:p>
    <w:p>
      <w:pPr>
        <w:spacing w:line="360" w:lineRule="auto"/>
        <w:ind w:left="48" w:right="59" w:firstLine="54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地址：广州市海珠区阅江西路368号广报中心南塔23楼粤传媒资产管理部</w:t>
      </w:r>
    </w:p>
    <w:p>
      <w:pPr>
        <w:spacing w:line="360" w:lineRule="auto"/>
        <w:ind w:left="48" w:right="59" w:firstLine="545"/>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采购联系人：刘小姐 电话：13719130101</w:t>
      </w:r>
    </w:p>
    <w:p>
      <w:pPr>
        <w:spacing w:line="360" w:lineRule="auto"/>
        <w:ind w:left="48" w:right="59" w:firstLine="545"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采购联系人邮箱：liucq@gdgzrb.com</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项目答疑人：温先生 电话：13480258150</w:t>
      </w:r>
    </w:p>
    <w:p>
      <w:pPr>
        <w:spacing w:line="360" w:lineRule="auto"/>
        <w:ind w:left="48" w:right="59" w:firstLine="545"/>
        <w:rPr>
          <w:rFonts w:hint="eastAsia" w:ascii="宋体" w:hAnsi="宋体" w:eastAsia="宋体" w:cs="宋体"/>
          <w:color w:val="000000"/>
          <w:sz w:val="28"/>
          <w:szCs w:val="28"/>
          <w:lang w:val="en-US" w:eastAsia="zh-CN"/>
        </w:rPr>
      </w:pPr>
    </w:p>
    <w:p>
      <w:pPr>
        <w:spacing w:line="360" w:lineRule="auto"/>
        <w:ind w:left="48" w:right="59" w:firstLine="545"/>
        <w:rPr>
          <w:rFonts w:hint="eastAsia" w:ascii="宋体" w:hAnsi="宋体" w:eastAsia="宋体" w:cs="宋体"/>
          <w:color w:val="000000"/>
          <w:sz w:val="28"/>
          <w:szCs w:val="28"/>
          <w:lang w:val="en-US" w:eastAsia="zh-CN"/>
        </w:rPr>
      </w:pPr>
    </w:p>
    <w:p>
      <w:pPr>
        <w:spacing w:line="360" w:lineRule="auto"/>
        <w:ind w:left="48" w:right="59" w:firstLine="545"/>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广东广州日报传媒股份有限公司</w:t>
      </w:r>
    </w:p>
    <w:p>
      <w:pPr>
        <w:spacing w:line="360" w:lineRule="auto"/>
        <w:ind w:left="48" w:right="59" w:firstLine="545"/>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2022年11月23日</w:t>
      </w:r>
    </w:p>
    <w:p>
      <w:pPr>
        <w:spacing w:line="360" w:lineRule="auto"/>
        <w:ind w:left="48" w:right="59" w:firstLine="545"/>
        <w:rPr>
          <w:rFonts w:hint="eastAsia" w:ascii="宋体" w:hAnsi="宋体" w:eastAsia="宋体" w:cs="宋体"/>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sz w:val="28"/>
          <w:szCs w:val="28"/>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第二部分 项目需求书</w:t>
      </w:r>
    </w:p>
    <w:p>
      <w:pPr>
        <w:spacing w:line="360" w:lineRule="auto"/>
        <w:ind w:firstLine="560" w:firstLineChars="200"/>
        <w:rPr>
          <w:rFonts w:hint="eastAsia" w:ascii="黑体" w:hAnsi="黑体" w:eastAsia="黑体" w:cs="黑体"/>
          <w:sz w:val="28"/>
          <w:szCs w:val="28"/>
        </w:rPr>
      </w:pPr>
    </w:p>
    <w:p>
      <w:pPr>
        <w:spacing w:line="360" w:lineRule="auto"/>
        <w:ind w:firstLine="560" w:firstLineChars="200"/>
        <w:rPr>
          <w:rFonts w:hint="default" w:ascii="宋体" w:hAnsi="宋体" w:eastAsia="宋体" w:cs="宋体"/>
          <w:sz w:val="28"/>
          <w:szCs w:val="28"/>
          <w:lang w:val="en-US"/>
        </w:rPr>
      </w:pPr>
      <w:r>
        <w:rPr>
          <w:rFonts w:hint="eastAsia" w:ascii="黑体" w:hAnsi="黑体" w:eastAsia="黑体" w:cs="黑体"/>
          <w:sz w:val="28"/>
          <w:szCs w:val="28"/>
        </w:rPr>
        <w:t>一、项目名称：</w:t>
      </w:r>
      <w:r>
        <w:rPr>
          <w:rFonts w:hint="eastAsia" w:ascii="宋体" w:hAnsi="宋体" w:eastAsia="宋体" w:cs="宋体"/>
          <w:sz w:val="28"/>
          <w:szCs w:val="28"/>
          <w:lang w:val="en-US" w:eastAsia="zh-CN"/>
        </w:rPr>
        <w:t>2023-2024年度粤传媒总部及下属分子公司机动车保险服务项目</w:t>
      </w:r>
    </w:p>
    <w:p>
      <w:pPr>
        <w:spacing w:line="360" w:lineRule="auto"/>
        <w:ind w:firstLine="560" w:firstLineChars="20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二、实施地址：</w:t>
      </w:r>
      <w:r>
        <w:rPr>
          <w:rFonts w:hint="eastAsia" w:ascii="宋体" w:hAnsi="宋体" w:eastAsia="宋体" w:cs="宋体"/>
          <w:sz w:val="28"/>
          <w:szCs w:val="28"/>
          <w:lang w:val="en-US" w:eastAsia="zh-CN"/>
        </w:rPr>
        <w:t>中国境内</w:t>
      </w:r>
    </w:p>
    <w:p>
      <w:pPr>
        <w:spacing w:line="360" w:lineRule="auto"/>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w:t>
      </w:r>
      <w:r>
        <w:rPr>
          <w:rFonts w:hint="eastAsia" w:ascii="黑体" w:hAnsi="黑体" w:eastAsia="黑体" w:cs="黑体"/>
          <w:sz w:val="28"/>
          <w:szCs w:val="28"/>
        </w:rPr>
        <w:t>、项目内容</w:t>
      </w:r>
      <w:r>
        <w:rPr>
          <w:rFonts w:hint="eastAsia" w:ascii="黑体" w:hAnsi="黑体" w:eastAsia="黑体" w:cs="黑体"/>
          <w:sz w:val="28"/>
          <w:szCs w:val="28"/>
          <w:lang w:val="en-US" w:eastAsia="zh-CN"/>
        </w:rPr>
        <w:t>及要求</w:t>
      </w:r>
    </w:p>
    <w:p>
      <w:pPr>
        <w:spacing w:line="360" w:lineRule="auto"/>
        <w:ind w:firstLine="560" w:firstLineChars="200"/>
        <w:rPr>
          <w:rFonts w:hint="eastAsia" w:ascii="宋体" w:hAnsi="宋体" w:eastAsia="宋体" w:cs="宋体"/>
          <w:sz w:val="28"/>
          <w:szCs w:val="28"/>
          <w:lang w:val="en-US" w:eastAsia="zh-CN"/>
        </w:rPr>
      </w:pPr>
      <w:r>
        <w:rPr>
          <w:rFonts w:hint="eastAsia" w:ascii="黑体" w:hAnsi="黑体" w:eastAsia="黑体" w:cs="黑体"/>
          <w:sz w:val="28"/>
          <w:szCs w:val="28"/>
          <w:lang w:val="en-US" w:eastAsia="zh-CN"/>
        </w:rPr>
        <w:t>1.</w:t>
      </w:r>
      <w:r>
        <w:rPr>
          <w:rFonts w:hint="eastAsia" w:ascii="宋体" w:hAnsi="宋体" w:eastAsia="宋体" w:cs="宋体"/>
          <w:sz w:val="28"/>
          <w:szCs w:val="28"/>
          <w:lang w:val="en-US" w:eastAsia="zh-CN"/>
        </w:rPr>
        <w:t>粤传媒总部及下属分子公司机动车共60辆的保险服务，如下表：</w:t>
      </w:r>
    </w:p>
    <w:tbl>
      <w:tblPr>
        <w:tblStyle w:val="5"/>
        <w:tblW w:w="7847" w:type="dxa"/>
        <w:tblInd w:w="675" w:type="dxa"/>
        <w:tblLayout w:type="autofit"/>
        <w:tblCellMar>
          <w:top w:w="0" w:type="dxa"/>
          <w:left w:w="108" w:type="dxa"/>
          <w:bottom w:w="0" w:type="dxa"/>
          <w:right w:w="108" w:type="dxa"/>
        </w:tblCellMar>
      </w:tblPr>
      <w:tblGrid>
        <w:gridCol w:w="993"/>
        <w:gridCol w:w="1881"/>
        <w:gridCol w:w="1397"/>
        <w:gridCol w:w="1740"/>
        <w:gridCol w:w="1836"/>
      </w:tblGrid>
      <w:tr>
        <w:tblPrEx>
          <w:tblCellMar>
            <w:top w:w="0" w:type="dxa"/>
            <w:left w:w="108" w:type="dxa"/>
            <w:bottom w:w="0" w:type="dxa"/>
            <w:right w:w="108" w:type="dxa"/>
          </w:tblCellMar>
        </w:tblPrEx>
        <w:trPr>
          <w:trHeight w:val="864"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22"/>
              </w:rPr>
            </w:pPr>
            <w:r>
              <w:rPr>
                <w:rFonts w:hint="eastAsia" w:cs="宋体"/>
                <w:b/>
                <w:bCs/>
                <w:kern w:val="0"/>
                <w:sz w:val="22"/>
              </w:rPr>
              <w:t>序号</w:t>
            </w:r>
          </w:p>
        </w:tc>
        <w:tc>
          <w:tcPr>
            <w:tcW w:w="1881" w:type="dxa"/>
            <w:tcBorders>
              <w:top w:val="single" w:color="auto" w:sz="4" w:space="0"/>
              <w:left w:val="nil"/>
              <w:bottom w:val="single" w:color="auto" w:sz="4" w:space="0"/>
              <w:right w:val="single" w:color="auto" w:sz="4" w:space="0"/>
            </w:tcBorders>
            <w:vAlign w:val="center"/>
          </w:tcPr>
          <w:p>
            <w:pPr>
              <w:widowControl/>
              <w:jc w:val="center"/>
              <w:rPr>
                <w:rFonts w:cs="宋体"/>
                <w:b/>
                <w:bCs/>
                <w:kern w:val="0"/>
                <w:sz w:val="22"/>
              </w:rPr>
            </w:pPr>
            <w:r>
              <w:rPr>
                <w:rFonts w:hint="eastAsia" w:cs="宋体"/>
                <w:b/>
                <w:bCs/>
                <w:kern w:val="0"/>
                <w:sz w:val="22"/>
              </w:rPr>
              <w:t>公司/分公司</w:t>
            </w:r>
          </w:p>
        </w:tc>
        <w:tc>
          <w:tcPr>
            <w:tcW w:w="1397" w:type="dxa"/>
            <w:tcBorders>
              <w:top w:val="single" w:color="auto" w:sz="4" w:space="0"/>
              <w:left w:val="nil"/>
              <w:bottom w:val="single" w:color="auto" w:sz="4" w:space="0"/>
              <w:right w:val="single" w:color="auto" w:sz="4" w:space="0"/>
            </w:tcBorders>
            <w:vAlign w:val="center"/>
          </w:tcPr>
          <w:p>
            <w:pPr>
              <w:widowControl/>
              <w:jc w:val="center"/>
              <w:rPr>
                <w:rFonts w:cs="宋体"/>
                <w:b/>
                <w:bCs/>
                <w:kern w:val="0"/>
                <w:sz w:val="22"/>
              </w:rPr>
            </w:pPr>
            <w:r>
              <w:rPr>
                <w:rFonts w:hint="eastAsia" w:cs="宋体"/>
                <w:b/>
                <w:bCs/>
                <w:kern w:val="0"/>
                <w:sz w:val="22"/>
              </w:rPr>
              <w:t>现有车辆数</w:t>
            </w:r>
          </w:p>
          <w:p>
            <w:pPr>
              <w:widowControl/>
              <w:jc w:val="center"/>
              <w:rPr>
                <w:rFonts w:cs="宋体"/>
                <w:b/>
                <w:bCs/>
                <w:kern w:val="0"/>
                <w:sz w:val="22"/>
              </w:rPr>
            </w:pPr>
            <w:r>
              <w:rPr>
                <w:rFonts w:hint="eastAsia" w:cs="宋体"/>
                <w:b/>
                <w:bCs/>
                <w:kern w:val="0"/>
                <w:sz w:val="22"/>
              </w:rPr>
              <w:t>（辆）</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cs="宋体"/>
                <w:b/>
                <w:bCs/>
                <w:kern w:val="0"/>
                <w:sz w:val="22"/>
              </w:rPr>
            </w:pPr>
            <w:r>
              <w:rPr>
                <w:rFonts w:hint="eastAsia" w:cs="宋体"/>
                <w:b/>
                <w:bCs/>
                <w:kern w:val="0"/>
                <w:sz w:val="22"/>
              </w:rPr>
              <w:t>购买险种</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22"/>
              </w:rPr>
            </w:pPr>
            <w:r>
              <w:rPr>
                <w:rFonts w:hint="eastAsia" w:cs="宋体"/>
                <w:b/>
                <w:bCs/>
                <w:kern w:val="0"/>
                <w:sz w:val="22"/>
              </w:rPr>
              <w:t>备注</w:t>
            </w:r>
          </w:p>
        </w:tc>
      </w:tr>
      <w:tr>
        <w:tblPrEx>
          <w:tblCellMar>
            <w:top w:w="0" w:type="dxa"/>
            <w:left w:w="108" w:type="dxa"/>
            <w:bottom w:w="0" w:type="dxa"/>
            <w:right w:w="108" w:type="dxa"/>
          </w:tblCellMar>
        </w:tblPrEx>
        <w:trPr>
          <w:trHeight w:val="288"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cs="宋体"/>
                <w:kern w:val="0"/>
                <w:szCs w:val="21"/>
              </w:rPr>
            </w:pPr>
            <w:r>
              <w:rPr>
                <w:rFonts w:hint="eastAsia" w:cs="宋体"/>
                <w:kern w:val="0"/>
                <w:szCs w:val="21"/>
              </w:rPr>
              <w:t>1</w:t>
            </w:r>
          </w:p>
        </w:tc>
        <w:tc>
          <w:tcPr>
            <w:tcW w:w="188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粤传媒总部及下属分子公司（广报经营销售分公司除外）</w:t>
            </w:r>
          </w:p>
        </w:tc>
        <w:tc>
          <w:tcPr>
            <w:tcW w:w="139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28</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交强险、商业险</w:t>
            </w:r>
          </w:p>
        </w:tc>
        <w:tc>
          <w:tcPr>
            <w:tcW w:w="1836" w:type="dxa"/>
            <w:vMerge w:val="restart"/>
            <w:tcBorders>
              <w:left w:val="single" w:color="auto" w:sz="4" w:space="0"/>
              <w:right w:val="single" w:color="auto" w:sz="4" w:space="0"/>
            </w:tcBorders>
            <w:vAlign w:val="center"/>
          </w:tcPr>
          <w:p>
            <w:pPr>
              <w:widowControl/>
              <w:jc w:val="center"/>
              <w:rPr>
                <w:rFonts w:cs="宋体"/>
                <w:kern w:val="0"/>
                <w:sz w:val="22"/>
              </w:rPr>
            </w:pPr>
            <w:r>
              <w:rPr>
                <w:rFonts w:hint="eastAsia" w:asciiTheme="minorEastAsia" w:hAnsiTheme="minorEastAsia" w:eastAsiaTheme="minorEastAsia"/>
                <w:b/>
                <w:kern w:val="28"/>
                <w:u w:val="single"/>
              </w:rPr>
              <w:t>每辆车具体购买的险种以招标文件附件二、附件三</w:t>
            </w:r>
            <w:r>
              <w:rPr>
                <w:rFonts w:hint="eastAsia" w:ascii="宋体" w:hAnsi="宋体" w:cs="宋体"/>
                <w:b/>
                <w:kern w:val="0"/>
                <w:szCs w:val="21"/>
                <w:u w:val="single"/>
              </w:rPr>
              <w:t>车辆情况表注明的为准</w:t>
            </w:r>
          </w:p>
        </w:tc>
      </w:tr>
      <w:tr>
        <w:tblPrEx>
          <w:tblCellMar>
            <w:top w:w="0" w:type="dxa"/>
            <w:left w:w="108" w:type="dxa"/>
            <w:bottom w:w="0" w:type="dxa"/>
            <w:right w:w="108" w:type="dxa"/>
          </w:tblCellMar>
        </w:tblPrEx>
        <w:trPr>
          <w:trHeight w:val="288"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cs="宋体"/>
                <w:kern w:val="0"/>
                <w:szCs w:val="21"/>
              </w:rPr>
            </w:pPr>
            <w:r>
              <w:rPr>
                <w:rFonts w:hint="eastAsia" w:cs="宋体"/>
                <w:kern w:val="0"/>
                <w:szCs w:val="21"/>
              </w:rPr>
              <w:t>2</w:t>
            </w:r>
          </w:p>
        </w:tc>
        <w:tc>
          <w:tcPr>
            <w:tcW w:w="1881"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广州日报报业经营有限公司销售分公司</w:t>
            </w:r>
          </w:p>
        </w:tc>
        <w:tc>
          <w:tcPr>
            <w:tcW w:w="1397" w:type="dxa"/>
            <w:tcBorders>
              <w:top w:val="nil"/>
              <w:left w:val="nil"/>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32</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交强险、商业险</w:t>
            </w:r>
          </w:p>
        </w:tc>
        <w:tc>
          <w:tcPr>
            <w:tcW w:w="1836" w:type="dxa"/>
            <w:vMerge w:val="continue"/>
            <w:tcBorders>
              <w:left w:val="single" w:color="auto" w:sz="4" w:space="0"/>
              <w:right w:val="single" w:color="auto" w:sz="4" w:space="0"/>
            </w:tcBorders>
            <w:vAlign w:val="center"/>
          </w:tcPr>
          <w:p>
            <w:pPr>
              <w:widowControl/>
              <w:jc w:val="center"/>
              <w:rPr>
                <w:rFonts w:cs="宋体"/>
                <w:kern w:val="0"/>
                <w:sz w:val="22"/>
              </w:rPr>
            </w:pPr>
          </w:p>
        </w:tc>
      </w:tr>
      <w:tr>
        <w:tblPrEx>
          <w:tblCellMar>
            <w:top w:w="0" w:type="dxa"/>
            <w:left w:w="108" w:type="dxa"/>
            <w:bottom w:w="0" w:type="dxa"/>
            <w:right w:w="108" w:type="dxa"/>
          </w:tblCellMar>
        </w:tblPrEx>
        <w:trPr>
          <w:trHeight w:val="483" w:hRule="atLeast"/>
        </w:trPr>
        <w:tc>
          <w:tcPr>
            <w:tcW w:w="287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2"/>
              </w:rPr>
            </w:pPr>
            <w:r>
              <w:rPr>
                <w:rFonts w:hint="eastAsia" w:cs="宋体"/>
                <w:kern w:val="0"/>
                <w:sz w:val="22"/>
              </w:rPr>
              <w:t>合计</w:t>
            </w:r>
          </w:p>
        </w:tc>
        <w:tc>
          <w:tcPr>
            <w:tcW w:w="1397" w:type="dxa"/>
            <w:tcBorders>
              <w:top w:val="nil"/>
              <w:left w:val="nil"/>
              <w:bottom w:val="single" w:color="auto" w:sz="4" w:space="0"/>
              <w:right w:val="single" w:color="auto" w:sz="4" w:space="0"/>
            </w:tcBorders>
            <w:vAlign w:val="center"/>
          </w:tcPr>
          <w:p>
            <w:pPr>
              <w:widowControl/>
              <w:jc w:val="center"/>
              <w:rPr>
                <w:rFonts w:hint="default" w:eastAsia="宋体" w:cs="宋体"/>
                <w:kern w:val="0"/>
                <w:sz w:val="22"/>
                <w:lang w:val="en-US" w:eastAsia="zh-CN"/>
              </w:rPr>
            </w:pPr>
            <w:r>
              <w:rPr>
                <w:rFonts w:hint="eastAsia" w:eastAsia="宋体" w:cs="宋体"/>
                <w:kern w:val="0"/>
                <w:sz w:val="22"/>
                <w:lang w:val="en-US" w:eastAsia="zh-CN"/>
              </w:rPr>
              <w:t>60</w:t>
            </w:r>
          </w:p>
        </w:tc>
        <w:tc>
          <w:tcPr>
            <w:tcW w:w="1740" w:type="dxa"/>
            <w:tcBorders>
              <w:top w:val="single" w:color="auto" w:sz="4" w:space="0"/>
              <w:left w:val="single" w:color="auto" w:sz="4" w:space="0"/>
              <w:bottom w:val="single" w:color="auto" w:sz="4" w:space="0"/>
              <w:right w:val="single" w:color="auto" w:sz="4" w:space="0"/>
            </w:tcBorders>
          </w:tcPr>
          <w:p>
            <w:pPr>
              <w:widowControl/>
              <w:jc w:val="center"/>
              <w:rPr>
                <w:rFonts w:cs="宋体"/>
                <w:kern w:val="0"/>
                <w:sz w:val="22"/>
              </w:rPr>
            </w:pPr>
          </w:p>
        </w:tc>
        <w:tc>
          <w:tcPr>
            <w:tcW w:w="1836" w:type="dxa"/>
            <w:vMerge w:val="continue"/>
            <w:tcBorders>
              <w:left w:val="single" w:color="auto" w:sz="4" w:space="0"/>
              <w:bottom w:val="single" w:color="auto" w:sz="4" w:space="0"/>
              <w:right w:val="single" w:color="auto" w:sz="4" w:space="0"/>
            </w:tcBorders>
            <w:vAlign w:val="center"/>
          </w:tcPr>
          <w:p>
            <w:pPr>
              <w:widowControl/>
              <w:jc w:val="center"/>
              <w:rPr>
                <w:rFonts w:cs="宋体"/>
                <w:kern w:val="0"/>
                <w:sz w:val="22"/>
              </w:rPr>
            </w:pPr>
          </w:p>
        </w:tc>
      </w:tr>
    </w:tbl>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车辆数量随采购人实际增购、报废变动，采购人保留对最终车数调整的权力。</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2.合格的报价人应对所有服务进行响应报价，不允许只对部分服务进行响应报价，否则作无效响应处理。</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3.投保车辆及险种：</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3.1投保车辆：粤传媒及下属分子公司（广报经营销售分公司除外）车辆28辆；广州日报报业经营有限公司销售分公司车辆32辆。</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 投保险种：包括交强险、商业险（含车辆损失险、第三者责任险、车上人员责任险、车身划痕损失险、新增设备险等）。对应以上险种，若名目不同但保险责任类同的，可视为相同险种，具体内容以向中国银行保险监督管理委员会（原“中国保险监督管理委员会”）报批的保险条款为准。车辆损失险，无论车身价值多少，统一视为足额投保，发生赔付时不按比例摊赔，全部按实际损失计赔，赔偿限额不超过该车的重置价值；中选人须代采购人办理车船税事宜，费用包括在投保报价内。采购人每辆车具体购买的险种以采购文件附件二、附件三车辆情况表注明的为准。</w:t>
      </w:r>
    </w:p>
    <w:p>
      <w:pPr>
        <w:spacing w:line="360" w:lineRule="auto"/>
        <w:ind w:firstLine="560" w:firstLineChars="200"/>
        <w:rPr>
          <w:rFonts w:hint="default"/>
          <w:lang w:val="en-US"/>
        </w:rPr>
      </w:pPr>
      <w:r>
        <w:rPr>
          <w:rFonts w:hint="eastAsia" w:ascii="宋体" w:hAnsi="宋体" w:eastAsia="宋体" w:cs="宋体"/>
          <w:sz w:val="28"/>
          <w:szCs w:val="28"/>
          <w:lang w:val="en-US" w:eastAsia="zh-CN"/>
        </w:rPr>
        <w:t>3.3其他要求：广东广州日报传媒股份有限公司及其下属分子公司分别向中选人购买车辆保险，中选人须分别开具相应增值税专用发票，并代采购人办理车船税事宜。</w:t>
      </w:r>
    </w:p>
    <w:p>
      <w:pPr>
        <w:pStyle w:val="9"/>
        <w:numPr>
          <w:ilvl w:val="0"/>
          <w:numId w:val="1"/>
        </w:numPr>
        <w:spacing w:line="360" w:lineRule="auto"/>
        <w:ind w:firstLine="560" w:firstLineChars="200"/>
        <w:rPr>
          <w:rFonts w:hint="eastAsia" w:ascii="宋体" w:hAnsi="宋体" w:eastAsia="宋体" w:cs="宋体"/>
          <w:snapToGrid w:val="0"/>
          <w:color w:val="000000"/>
          <w:kern w:val="0"/>
          <w:sz w:val="28"/>
          <w:szCs w:val="28"/>
          <w:lang w:val="en-US" w:eastAsia="zh-CN"/>
        </w:rPr>
      </w:pPr>
      <w:r>
        <w:rPr>
          <w:rFonts w:hint="eastAsia" w:ascii="黑体" w:hAnsi="黑体" w:eastAsia="黑体" w:cs="黑体"/>
          <w:b w:val="0"/>
          <w:bCs w:val="0"/>
          <w:sz w:val="28"/>
          <w:szCs w:val="28"/>
          <w:lang w:val="en-US" w:eastAsia="zh-CN"/>
        </w:rPr>
        <w:t>服务期限：</w:t>
      </w:r>
      <w:r>
        <w:rPr>
          <w:rFonts w:hint="eastAsia" w:ascii="宋体" w:hAnsi="宋体" w:eastAsia="宋体" w:cs="宋体"/>
          <w:snapToGrid w:val="0"/>
          <w:color w:val="000000"/>
          <w:kern w:val="0"/>
          <w:sz w:val="28"/>
          <w:szCs w:val="28"/>
          <w:lang w:val="en-US" w:eastAsia="zh-CN"/>
        </w:rPr>
        <w:t>二年（具体以粤传媒或下属分子公司与</w:t>
      </w:r>
      <w:r>
        <w:rPr>
          <w:rFonts w:hint="eastAsia" w:ascii="宋体" w:hAnsi="宋体" w:cs="宋体"/>
          <w:snapToGrid w:val="0"/>
          <w:color w:val="000000"/>
          <w:kern w:val="0"/>
          <w:sz w:val="28"/>
          <w:szCs w:val="28"/>
          <w:lang w:val="en-US" w:eastAsia="zh-CN"/>
        </w:rPr>
        <w:t>中选人</w:t>
      </w:r>
      <w:r>
        <w:rPr>
          <w:rFonts w:hint="eastAsia" w:ascii="宋体" w:hAnsi="宋体" w:eastAsia="宋体" w:cs="宋体"/>
          <w:snapToGrid w:val="0"/>
          <w:color w:val="000000"/>
          <w:kern w:val="0"/>
          <w:sz w:val="28"/>
          <w:szCs w:val="28"/>
          <w:lang w:val="en-US" w:eastAsia="zh-CN"/>
        </w:rPr>
        <w:t>签署的保单或保险合同约定的服务期限为准,以每辆投保机动车实际参保的起始时间计算2年期）。</w:t>
      </w:r>
    </w:p>
    <w:p>
      <w:pPr>
        <w:pStyle w:val="9"/>
        <w:numPr>
          <w:ilvl w:val="0"/>
          <w:numId w:val="1"/>
        </w:numPr>
        <w:spacing w:line="360" w:lineRule="auto"/>
        <w:ind w:firstLine="560" w:firstLineChars="200"/>
        <w:rPr>
          <w:rFonts w:hint="eastAsia" w:ascii="黑体" w:hAnsi="黑体" w:eastAsia="黑体" w:cs="黑体"/>
          <w:b w:val="0"/>
          <w:bCs w:val="0"/>
          <w:color w:val="auto"/>
          <w:sz w:val="28"/>
          <w:szCs w:val="28"/>
          <w:highlight w:val="none"/>
          <w:lang w:val="en-US" w:eastAsia="zh-CN"/>
        </w:rPr>
      </w:pPr>
      <w:r>
        <w:rPr>
          <w:rFonts w:hint="eastAsia" w:ascii="黑体" w:hAnsi="黑体" w:eastAsia="黑体" w:cs="黑体"/>
          <w:b w:val="0"/>
          <w:bCs w:val="0"/>
          <w:color w:val="auto"/>
          <w:sz w:val="28"/>
          <w:szCs w:val="28"/>
          <w:highlight w:val="none"/>
          <w:lang w:val="en-US" w:eastAsia="zh-CN"/>
        </w:rPr>
        <w:t>服务要求</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1.服务承诺</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（1）中选人设立专门机构、专人专职负责(设联络员1名)办理定点保险业务，以便于业务的衔接、资金的结算和数据的统计等。</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（2）中选人应根据自己掌握的情况和采购人提交的情况或通知，主动上门服务及时为被保险单位签订机动车辆保险单。</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（3）中选人应对采购人的保险车辆建立单独的用户档案，开展跟踪服务，建立定期回访制度，征求采购人意见，及时改进服务。</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2.理赔承诺</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（1）★保证采购人获得优先服务的权利；为采购人提供VIP客户专享的理赔简便操作。</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（2）中选人应设有24小时全天报案服务电话，并派专人受理索赔报案及便利地定损理赔等服务；</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（3）采购人赔款金额在5000元以下（含5000元）的，中选人需在一个工作日内定损，定损后车辆可以维修，赔案即时赔付并结案；</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（4）采购人赔款金额在5000元以上（不含5000元），且按要求将所需的理赔资料提供齐全后，中选人赔案时效为：</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①赔款5千元—3万元的，5个工作日内结案；</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②赔款3万元--10万元的，10个工作日内结案；</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③赔款10万元以上的，15个工作日内结案；</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④涉及人伤的事故在资料齐备的情况下最晚通知赔付时间不超过7个工作日；</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中选人提供全天候、全时段的现场查勘服务。在接到采购人的出险报案后，广州市内应60分钟内赶到现场,特殊情况协商对涉及人伤的保险事故，估计赔偿额将超过1万时，中选人应派出专业人员1小时内抵达伤者入住的医院，及时了解病情，并负责全程向伤者和医疗机构告知保险赔偿医疗费的范围，监督医药费的开支，将采购人因交通事故为工作带来的不便降低到最低。</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（6）保险车辆受损失后，中选人应在采购人确定的定点维修单位内选择修理厂</w:t>
      </w:r>
      <w:r>
        <w:rPr>
          <w:rFonts w:hint="eastAsia" w:asciiTheme="minorEastAsia" w:hAnsiTheme="minorEastAsia" w:eastAsiaTheme="minorEastAsia" w:cstheme="minorEastAsia"/>
          <w:b w:val="0"/>
          <w:bCs w:val="0"/>
          <w:color w:val="auto"/>
          <w:sz w:val="28"/>
          <w:szCs w:val="28"/>
          <w:highlight w:val="none"/>
          <w:lang w:val="en-US" w:eastAsia="zh-CN"/>
        </w:rPr>
        <w:t>（</w:t>
      </w:r>
      <w:r>
        <w:rPr>
          <w:rFonts w:hint="eastAsia" w:asciiTheme="minorEastAsia" w:hAnsiTheme="minorEastAsia" w:eastAsiaTheme="minorEastAsia" w:cstheme="minorEastAsia"/>
          <w:b w:val="0"/>
          <w:bCs w:val="0"/>
          <w:i w:val="0"/>
          <w:iCs w:val="0"/>
          <w:caps w:val="0"/>
          <w:color w:val="auto"/>
          <w:spacing w:val="0"/>
          <w:sz w:val="28"/>
          <w:szCs w:val="28"/>
          <w:highlight w:val="none"/>
          <w:shd w:val="clear" w:fill="FFFFFF"/>
        </w:rPr>
        <w:t>广东安盈汽车保险事故咨询服务有限公司</w:t>
      </w:r>
      <w:r>
        <w:rPr>
          <w:rFonts w:hint="eastAsia" w:asciiTheme="minorEastAsia" w:hAnsiTheme="minorEastAsia" w:eastAsiaTheme="minorEastAsia" w:cstheme="minorEastAsia"/>
          <w:b w:val="0"/>
          <w:bCs w:val="0"/>
          <w:i w:val="0"/>
          <w:iCs w:val="0"/>
          <w:caps w:val="0"/>
          <w:color w:val="auto"/>
          <w:spacing w:val="0"/>
          <w:sz w:val="28"/>
          <w:szCs w:val="28"/>
          <w:highlight w:val="none"/>
          <w:shd w:val="clear" w:fill="FFFFFF"/>
          <w:lang w:eastAsia="zh-CN"/>
        </w:rPr>
        <w:t>、</w:t>
      </w:r>
      <w:r>
        <w:rPr>
          <w:rFonts w:hint="eastAsia" w:asciiTheme="minorEastAsia" w:hAnsiTheme="minorEastAsia" w:eastAsiaTheme="minorEastAsia" w:cstheme="minorEastAsia"/>
          <w:b w:val="0"/>
          <w:bCs w:val="0"/>
          <w:i w:val="0"/>
          <w:iCs w:val="0"/>
          <w:caps w:val="0"/>
          <w:color w:val="auto"/>
          <w:spacing w:val="0"/>
          <w:sz w:val="28"/>
          <w:szCs w:val="28"/>
          <w:highlight w:val="none"/>
          <w:shd w:val="clear" w:fill="FFFFFF"/>
        </w:rPr>
        <w:t>广州公交集团第二公共汽车有限公司修配一厂</w:t>
      </w:r>
      <w:r>
        <w:rPr>
          <w:rFonts w:hint="eastAsia" w:asciiTheme="minorEastAsia" w:hAnsiTheme="minorEastAsia" w:eastAsiaTheme="minorEastAsia" w:cstheme="minorEastAsia"/>
          <w:b w:val="0"/>
          <w:bCs w:val="0"/>
          <w:i w:val="0"/>
          <w:iCs w:val="0"/>
          <w:caps w:val="0"/>
          <w:color w:val="auto"/>
          <w:spacing w:val="0"/>
          <w:sz w:val="28"/>
          <w:szCs w:val="28"/>
          <w:highlight w:val="none"/>
          <w:shd w:val="clear" w:fill="FFFFFF"/>
          <w:lang w:eastAsia="zh-CN"/>
        </w:rPr>
        <w:t>，</w:t>
      </w:r>
      <w:r>
        <w:rPr>
          <w:rFonts w:hint="eastAsia" w:asciiTheme="minorEastAsia" w:hAnsiTheme="minorEastAsia" w:eastAsiaTheme="minorEastAsia" w:cstheme="minorEastAsia"/>
          <w:b w:val="0"/>
          <w:bCs w:val="0"/>
          <w:i w:val="0"/>
          <w:iCs w:val="0"/>
          <w:caps w:val="0"/>
          <w:color w:val="auto"/>
          <w:spacing w:val="0"/>
          <w:sz w:val="28"/>
          <w:szCs w:val="28"/>
          <w:highlight w:val="none"/>
          <w:shd w:val="clear" w:fill="FFFFFF"/>
          <w:lang w:val="en-US" w:eastAsia="zh-CN"/>
        </w:rPr>
        <w:t>如有变更将以采购人通知为准</w:t>
      </w:r>
      <w:r>
        <w:rPr>
          <w:rFonts w:hint="eastAsia" w:asciiTheme="minorEastAsia" w:hAnsiTheme="minorEastAsia" w:eastAsiaTheme="minorEastAsia" w:cstheme="minorEastAsia"/>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，在广东省交通部门规定的相应维修项目的定额工时内将车辆修复，交采购人使用，费用由中选人直接与采购人结算。</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（7）施救服务。采购人的保险车辆在广东省内出险后，中选人或中选人当地分支机构应协助采购人做好受损车辆的施救工作，在广东省内需为事故车辆提供免费拖车服务。                                         </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（8）保险车辆出险后，采购人因客观原因不能或无法提供齐全的索赔单证，在事故责任及损失确定的情况下，可由采购人提出申请，中选人需按确定损失金额赔付。</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（9）车辆保险金额以采购人提供的投保价值为准，发生损失时，按实际修理及必要的施救费用计算赔款。</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（10）如中国保监会机动车辆保险条款、费率有新的变化，中选人应按照有利于集中采购车辆保险的方案实施。</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11）★在理赔过程中如遇有其他特殊情况，中选人与采购人本着友好协商的原则，妥善处理，充分维护采购人的合法权益。对于赔偿结果无法达成一致时，根据采购人的要求，指定具有国内保险公估营业许可的双方认可的公估公司进行损失理算，由中选人负担有关公估费用。</w:t>
      </w:r>
    </w:p>
    <w:p>
      <w:pPr>
        <w:spacing w:line="36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 (12) 发生保险事故，保险事故损失3000元以下（含3000 元、含第三者人员伤亡、车辆损失和其他物质损失），金额较低，无人员伤亡的，可进行快速理赔手续。</w:t>
      </w:r>
    </w:p>
    <w:p>
      <w:pPr>
        <w:spacing w:line="360" w:lineRule="auto"/>
        <w:ind w:firstLine="560" w:firstLineChars="200"/>
        <w:rPr>
          <w:rFonts w:hint="eastAsia" w:ascii="宋体" w:hAnsi="宋体" w:eastAsia="宋体" w:cs="宋体"/>
          <w:b w:val="0"/>
          <w:bCs w:val="0"/>
          <w:snapToGrid w:val="0"/>
          <w:color w:val="auto"/>
          <w:kern w:val="0"/>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（13）★中选人须为采购人提供“先预赔付”和“代位追偿”服务。</w:t>
      </w:r>
    </w:p>
    <w:p>
      <w:pPr>
        <w:spacing w:line="360" w:lineRule="auto"/>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六</w:t>
      </w:r>
      <w:r>
        <w:rPr>
          <w:rFonts w:hint="eastAsia" w:ascii="黑体" w:hAnsi="黑体" w:eastAsia="黑体" w:cs="黑体"/>
          <w:b w:val="0"/>
          <w:bCs w:val="0"/>
          <w:sz w:val="28"/>
          <w:szCs w:val="28"/>
        </w:rPr>
        <w:t>、报价人资质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pacing w:val="1"/>
          <w:sz w:val="28"/>
          <w:szCs w:val="28"/>
        </w:rPr>
      </w:pPr>
      <w:r>
        <w:rPr>
          <w:rFonts w:hint="eastAsia" w:ascii="宋体" w:hAnsi="宋体" w:eastAsia="宋体" w:cs="宋体"/>
          <w:sz w:val="28"/>
          <w:szCs w:val="28"/>
          <w:lang w:val="en-US" w:eastAsia="zh-CN"/>
        </w:rPr>
        <w:t>1.报价人应为在中华人民共和国注册的具有独立民事责任的法人或其他组织，取得合法企业工商营业执照（或事业单位法人证书，或社会团体法人登记证书）并具备与本项目相应的经营范围且在有效期内。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eastAsia="宋体" w:cs="宋体"/>
          <w:sz w:val="28"/>
          <w:szCs w:val="28"/>
          <w:lang w:val="zh-CN" w:eastAsia="zh-CN"/>
        </w:rPr>
      </w:pPr>
      <w:r>
        <w:rPr>
          <w:rFonts w:hint="eastAsia" w:ascii="宋体" w:hAnsi="宋体" w:eastAsia="宋体" w:cs="宋体"/>
          <w:sz w:val="28"/>
          <w:szCs w:val="28"/>
          <w:lang w:val="en-US" w:eastAsia="zh-CN"/>
        </w:rPr>
        <w:t>2.</w:t>
      </w:r>
      <w:r>
        <w:rPr>
          <w:rFonts w:hint="default" w:ascii="宋体" w:hAnsi="宋体" w:eastAsia="宋体" w:cs="宋体"/>
          <w:sz w:val="28"/>
          <w:szCs w:val="28"/>
          <w:lang w:val="zh-CN" w:eastAsia="zh-CN"/>
        </w:rPr>
        <w:t>分支机构</w:t>
      </w:r>
      <w:r>
        <w:rPr>
          <w:rFonts w:hint="eastAsia" w:ascii="宋体" w:hAnsi="宋体" w:eastAsia="宋体" w:cs="宋体"/>
          <w:sz w:val="28"/>
          <w:szCs w:val="28"/>
          <w:lang w:val="en-US" w:eastAsia="zh-CN"/>
        </w:rPr>
        <w:t>报价</w:t>
      </w:r>
      <w:r>
        <w:rPr>
          <w:rFonts w:hint="default" w:ascii="宋体" w:hAnsi="宋体" w:eastAsia="宋体" w:cs="宋体"/>
          <w:sz w:val="28"/>
          <w:szCs w:val="28"/>
          <w:lang w:val="zh-CN" w:eastAsia="zh-CN"/>
        </w:rPr>
        <w:t>的，须提供分支机构的营业执照及总公司出具的</w:t>
      </w:r>
      <w:r>
        <w:rPr>
          <w:rFonts w:hint="eastAsia" w:ascii="宋体" w:hAnsi="宋体" w:eastAsia="宋体" w:cs="宋体"/>
          <w:sz w:val="28"/>
          <w:szCs w:val="28"/>
          <w:lang w:val="zh-CN" w:eastAsia="zh-CN"/>
        </w:rPr>
        <w:t>唯一针对本项目的授权书</w:t>
      </w:r>
      <w:r>
        <w:rPr>
          <w:rFonts w:hint="default" w:ascii="宋体" w:hAnsi="宋体" w:eastAsia="宋体" w:cs="宋体"/>
          <w:sz w:val="28"/>
          <w:szCs w:val="28"/>
          <w:lang w:val="zh-CN" w:eastAsia="zh-CN"/>
        </w:rPr>
        <w:t>，授权书须加盖总公司公章。由总公司（总所）授权的，总公司取得的相关资质证书对分支机构有效，法律法规或者行业另有规定的除外。</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3.报价人在广州市具有经营机动车保险业务资质的保险公司，提供具有有效期内的《经营保险业务许可证》复印件加盖公章，并且经营范围须含机动车辆保险业务。</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3.报价人2020年1月1日至今具有广州市内单位机动车承保经验业绩（年度承保广州市内单位机动车不少于60辆，以合同签订时间为准），须提供合同关键页复印件，合同须有具体的车数（加盖公章）。</w:t>
      </w:r>
    </w:p>
    <w:p>
      <w:pPr>
        <w:widowControl/>
        <w:kinsoku/>
        <w:autoSpaceDE/>
        <w:autoSpaceDN/>
        <w:adjustRightInd/>
        <w:snapToGrid/>
        <w:spacing w:line="360" w:lineRule="auto"/>
        <w:ind w:firstLine="560" w:firstLineChars="200"/>
        <w:textAlignment w:val="auto"/>
        <w:rPr>
          <w:rFonts w:hint="default"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4.</w:t>
      </w:r>
      <w:r>
        <w:rPr>
          <w:rFonts w:hint="eastAsia" w:ascii="宋体" w:hAnsi="宋体" w:eastAsia="宋体" w:cs="宋体"/>
          <w:sz w:val="28"/>
          <w:szCs w:val="28"/>
          <w:lang w:val="en-US" w:eastAsia="zh-CN"/>
        </w:rPr>
        <w:t>报价人不得存在以下情况：（1）被责令停业；（2）被暂停或取消报价资格；（3）财产被接管或者冻结；（4）在最近三年内在经营活动中有重大违法记录、有重大未了结债务纠纷</w:t>
      </w:r>
      <w:r>
        <w:rPr>
          <w:rFonts w:hint="eastAsia" w:ascii="宋体" w:hAnsi="宋体" w:eastAsia="宋体" w:cs="宋体"/>
          <w:spacing w:val="0"/>
          <w:sz w:val="28"/>
          <w:szCs w:val="28"/>
          <w:lang w:val="en-US" w:eastAsia="zh-CN"/>
        </w:rPr>
        <w:t>（提供《报价人资格声明函》）</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5.单位负责人为同一人或者存在控股、管理关系的不同单位，不得参加同一项目（提供《报价人资格声明函》）；</w:t>
      </w:r>
    </w:p>
    <w:p>
      <w:pPr>
        <w:keepNext w:val="0"/>
        <w:keepLines w:val="0"/>
        <w:pageBreakBefore w:val="0"/>
        <w:widowControl/>
        <w:kinsoku/>
        <w:wordWrap/>
        <w:overflowPunct/>
        <w:topLinePunct w:val="0"/>
        <w:autoSpaceDE/>
        <w:autoSpaceDN/>
        <w:bidi w:val="0"/>
        <w:adjustRightInd/>
        <w:snapToGrid/>
        <w:spacing w:line="360" w:lineRule="auto"/>
        <w:ind w:left="0" w:right="0" w:firstLine="560" w:firstLineChars="200"/>
        <w:textAlignment w:val="auto"/>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6.报价人参加报价的意思表达清楚，报价人代表被授权有效；</w:t>
      </w:r>
    </w:p>
    <w:p>
      <w:pPr>
        <w:widowControl/>
        <w:kinsoku/>
        <w:autoSpaceDE/>
        <w:autoSpaceDN/>
        <w:adjustRightInd/>
        <w:snapToGrid/>
        <w:spacing w:line="360" w:lineRule="auto"/>
        <w:ind w:firstLine="560" w:firstLineChars="200"/>
        <w:textAlignment w:val="auto"/>
        <w:rPr>
          <w:rFonts w:hint="eastAsia" w:ascii="宋体" w:hAnsi="宋体" w:eastAsia="宋体" w:cs="宋体"/>
          <w:b/>
          <w:bCs/>
          <w:sz w:val="28"/>
          <w:szCs w:val="28"/>
          <w:lang w:val="en-US" w:eastAsia="zh-CN"/>
        </w:rPr>
      </w:pPr>
      <w:r>
        <w:rPr>
          <w:rFonts w:hint="eastAsia" w:ascii="宋体" w:hAnsi="宋体" w:eastAsia="宋体" w:cs="宋体"/>
          <w:spacing w:val="0"/>
          <w:sz w:val="28"/>
          <w:szCs w:val="28"/>
          <w:lang w:val="en-US" w:eastAsia="zh-CN"/>
        </w:rPr>
        <w:t>7.本项目不接受联合体参加。</w:t>
      </w:r>
    </w:p>
    <w:p>
      <w:pPr>
        <w:spacing w:line="360" w:lineRule="auto"/>
        <w:ind w:firstLine="560" w:firstLineChars="20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七、关于响应文件</w:t>
      </w:r>
    </w:p>
    <w:p>
      <w:pPr>
        <w:spacing w:line="360" w:lineRule="auto"/>
        <w:ind w:left="48" w:right="59" w:firstLine="545" w:firstLineChars="0"/>
        <w:rPr>
          <w:rFonts w:hint="default" w:ascii="宋体" w:hAnsi="宋体" w:eastAsia="宋体" w:cs="宋体"/>
          <w:b/>
          <w:bCs/>
          <w:spacing w:val="0"/>
          <w:sz w:val="28"/>
          <w:szCs w:val="28"/>
          <w:lang w:val="en-US" w:eastAsia="zh-CN"/>
        </w:rPr>
      </w:pPr>
      <w:r>
        <w:rPr>
          <w:rFonts w:hint="eastAsia" w:ascii="宋体" w:hAnsi="宋体" w:eastAsia="宋体" w:cs="宋体"/>
          <w:b/>
          <w:bCs/>
          <w:spacing w:val="0"/>
          <w:sz w:val="28"/>
          <w:szCs w:val="28"/>
          <w:lang w:val="en-US" w:eastAsia="zh-CN"/>
        </w:rPr>
        <w:t>响应文件包括但不限于：</w:t>
      </w:r>
    </w:p>
    <w:p>
      <w:pPr>
        <w:spacing w:line="360" w:lineRule="auto"/>
        <w:ind w:left="48" w:right="59" w:firstLine="545" w:firstLineChars="0"/>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1.有效期内的营业执照副本复印件；</w:t>
      </w:r>
    </w:p>
    <w:p>
      <w:pPr>
        <w:spacing w:line="360" w:lineRule="auto"/>
        <w:ind w:left="48" w:right="59" w:firstLine="545" w:firstLineChars="0"/>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2.有效期内的</w:t>
      </w:r>
      <w:r>
        <w:rPr>
          <w:rFonts w:hint="eastAsia" w:ascii="宋体" w:hAnsi="宋体" w:eastAsia="宋体" w:cs="宋体"/>
          <w:sz w:val="28"/>
          <w:szCs w:val="28"/>
          <w:lang w:val="en-US" w:eastAsia="zh-CN"/>
        </w:rPr>
        <w:t>《经营保险业务许可证》复印件（经营范围须含机动车辆保险业务）</w:t>
      </w:r>
      <w:r>
        <w:rPr>
          <w:rFonts w:hint="eastAsia" w:ascii="宋体" w:hAnsi="宋体" w:eastAsia="宋体" w:cs="宋体"/>
          <w:spacing w:val="0"/>
          <w:sz w:val="28"/>
          <w:szCs w:val="28"/>
          <w:lang w:val="en-US" w:eastAsia="zh-CN"/>
        </w:rPr>
        <w:t>；</w:t>
      </w:r>
    </w:p>
    <w:p>
      <w:pPr>
        <w:spacing w:line="360" w:lineRule="auto"/>
        <w:ind w:left="48" w:right="59" w:firstLine="545" w:firstLineChars="0"/>
        <w:rPr>
          <w:rFonts w:hint="default" w:ascii="宋体" w:hAnsi="宋体" w:eastAsia="宋体" w:cs="宋体"/>
          <w:sz w:val="28"/>
          <w:szCs w:val="28"/>
          <w:lang w:val="en-US" w:eastAsia="zh-CN"/>
        </w:rPr>
      </w:pPr>
      <w:r>
        <w:rPr>
          <w:rFonts w:hint="eastAsia" w:ascii="宋体" w:hAnsi="宋体" w:eastAsia="宋体" w:cs="宋体"/>
          <w:spacing w:val="0"/>
          <w:sz w:val="28"/>
          <w:szCs w:val="28"/>
          <w:lang w:val="en-US" w:eastAsia="zh-CN"/>
        </w:rPr>
        <w:t>3.</w:t>
      </w:r>
      <w:r>
        <w:rPr>
          <w:rFonts w:hint="eastAsia" w:ascii="宋体" w:hAnsi="宋体" w:eastAsia="宋体" w:cs="宋体"/>
          <w:sz w:val="28"/>
          <w:szCs w:val="28"/>
          <w:lang w:val="en-US" w:eastAsia="zh-CN"/>
        </w:rPr>
        <w:t>2023-2024年度粤传媒总部及下属分子公司机动车保险服务项目报价表原件（格式见附件1）；</w:t>
      </w:r>
    </w:p>
    <w:p>
      <w:pPr>
        <w:spacing w:line="360" w:lineRule="auto"/>
        <w:ind w:left="48" w:right="59" w:firstLine="545" w:firstLineChars="0"/>
        <w:rPr>
          <w:rFonts w:hint="eastAsia" w:ascii="宋体" w:hAnsi="宋体" w:eastAsia="宋体" w:cs="宋体"/>
          <w:spacing w:val="0"/>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spacing w:val="0"/>
          <w:sz w:val="28"/>
          <w:szCs w:val="28"/>
          <w:lang w:val="en-US" w:eastAsia="zh-CN"/>
        </w:rPr>
        <w:t>法人代表证明书、法人代表授权书(如需)(格式详见附件2、附件3）；</w:t>
      </w:r>
    </w:p>
    <w:p>
      <w:pPr>
        <w:spacing w:line="360" w:lineRule="auto"/>
        <w:ind w:left="48" w:right="59" w:firstLine="545" w:firstLineChars="0"/>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5.报价人资格声明函（格式见附件4）；</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pacing w:val="0"/>
          <w:sz w:val="28"/>
          <w:szCs w:val="28"/>
          <w:lang w:val="en-US" w:eastAsia="zh-CN"/>
        </w:rPr>
        <w:t>6.</w:t>
      </w:r>
      <w:r>
        <w:rPr>
          <w:rFonts w:hint="eastAsia" w:ascii="宋体" w:hAnsi="宋体" w:eastAsia="宋体" w:cs="宋体"/>
          <w:sz w:val="28"/>
          <w:szCs w:val="28"/>
          <w:lang w:val="en-US" w:eastAsia="zh-CN"/>
        </w:rPr>
        <w:t>报价人2020年1月1日至今具有广州市内单位机动车承保经验业绩（见附件5，提供合同关键页复印件盖公章)；</w:t>
      </w:r>
    </w:p>
    <w:p>
      <w:pPr>
        <w:spacing w:line="360" w:lineRule="auto"/>
        <w:ind w:left="48" w:right="59" w:firstLine="545" w:firstLine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7.项目需求响应表</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注：响应文件须经正式授权代表签署，同时所有文件须加盖单位公章，扫描件须清晰。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8" w:right="59" w:firstLine="545"/>
        <w:textAlignment w:val="baseline"/>
        <w:rPr>
          <w:rFonts w:hint="eastAsia"/>
          <w:lang w:val="en-US" w:eastAsia="zh-CN"/>
        </w:rPr>
      </w:pPr>
      <w:r>
        <w:rPr>
          <w:rFonts w:hint="eastAsia" w:ascii="黑体" w:hAnsi="黑体" w:eastAsia="黑体" w:cs="黑体"/>
          <w:b w:val="0"/>
          <w:bCs w:val="0"/>
          <w:sz w:val="28"/>
          <w:szCs w:val="28"/>
          <w:lang w:val="en-US" w:eastAsia="zh-CN"/>
        </w:rPr>
        <w:t>八、响应文件提交：</w:t>
      </w:r>
      <w:r>
        <w:rPr>
          <w:rFonts w:hint="eastAsia" w:ascii="宋体" w:hAnsi="宋体" w:eastAsia="宋体" w:cs="宋体"/>
          <w:sz w:val="28"/>
          <w:szCs w:val="28"/>
          <w:lang w:val="en-US" w:eastAsia="zh-CN"/>
        </w:rPr>
        <w:t xml:space="preserve">响应文件提交截止时间2022年11月 日18时（北京时间）。响应文件须在截止时间前上传至粤传媒官网采购平台（https://cg.gdgzrb.com/cms/）。采购人有权要求报价人提供原件备查。   </w:t>
      </w:r>
    </w:p>
    <w:p>
      <w:pPr>
        <w:spacing w:line="360" w:lineRule="auto"/>
        <w:ind w:firstLine="560" w:firstLineChars="20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九、关于报价</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报价人对项目中的汽车交通事故责任强制保险（含汽车车船税）须按银保监会制定的《机动车交通事故责任强制保险费率方案》（以最新版本为准）的统一规定执行；</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价人对项目中汽车的商业保险按《机动车综合商业保险条款》的规定执行，车辆保险价格=中国保险行业协会商业车险费率基准×无赔款优待系数（NCD系数）×自主定价系数（注：具体费率基准以在中国银行保险监督管理委员会网站“在线服务-商业车险示范条款及费率基准查询栏目查询为准”。）</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★无赔款优待系数（NCD系数）方案根据客户近三年投保及出险情况确定无赔款优待等级和系数，共划分为10个等级，系数范围为0.5-2.0。无赔款优待等级和系数确定规则如下：</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无赔款优待等级系数对照表</w:t>
      </w:r>
    </w:p>
    <w:tbl>
      <w:tblPr>
        <w:tblStyle w:val="5"/>
        <w:tblW w:w="7227" w:type="dxa"/>
        <w:jc w:val="center"/>
        <w:tblLayout w:type="autofit"/>
        <w:tblCellMar>
          <w:top w:w="0" w:type="dxa"/>
          <w:left w:w="108" w:type="dxa"/>
          <w:bottom w:w="0" w:type="dxa"/>
          <w:right w:w="108" w:type="dxa"/>
        </w:tblCellMar>
      </w:tblPr>
      <w:tblGrid>
        <w:gridCol w:w="1227"/>
        <w:gridCol w:w="600"/>
        <w:gridCol w:w="600"/>
        <w:gridCol w:w="600"/>
        <w:gridCol w:w="600"/>
        <w:gridCol w:w="600"/>
        <w:gridCol w:w="600"/>
        <w:gridCol w:w="600"/>
        <w:gridCol w:w="600"/>
        <w:gridCol w:w="600"/>
        <w:gridCol w:w="600"/>
      </w:tblGrid>
      <w:tr>
        <w:tblPrEx>
          <w:tblCellMar>
            <w:top w:w="0" w:type="dxa"/>
            <w:left w:w="108" w:type="dxa"/>
            <w:bottom w:w="0" w:type="dxa"/>
            <w:right w:w="108" w:type="dxa"/>
          </w:tblCellMar>
        </w:tblPrEx>
        <w:trPr>
          <w:trHeight w:val="270" w:hRule="atLeast"/>
          <w:jc w:val="center"/>
        </w:trPr>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NCD分级</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-4</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-3</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-2</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-1</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0</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1</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2</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3</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4</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70" w:hRule="atLeast"/>
          <w:jc w:val="center"/>
        </w:trPr>
        <w:tc>
          <w:tcPr>
            <w:tcW w:w="1227" w:type="dxa"/>
            <w:tcBorders>
              <w:top w:val="nil"/>
              <w:left w:val="single" w:color="auto" w:sz="4" w:space="0"/>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NCD系数</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0.5</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0.6</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0.7</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0.8</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1</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1.2</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1.4</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1.6</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1.8</w:t>
            </w:r>
          </w:p>
        </w:tc>
        <w:tc>
          <w:tcPr>
            <w:tcW w:w="600" w:type="dxa"/>
            <w:tcBorders>
              <w:top w:val="nil"/>
              <w:left w:val="nil"/>
              <w:bottom w:val="single" w:color="auto" w:sz="4" w:space="0"/>
              <w:right w:val="single" w:color="auto" w:sz="4" w:space="0"/>
            </w:tcBorders>
            <w:shd w:val="clear" w:color="auto" w:fill="auto"/>
            <w:noWrap/>
            <w:vAlign w:val="center"/>
          </w:tcPr>
          <w:p>
            <w:pPr>
              <w:pStyle w:val="10"/>
              <w:widowControl/>
              <w:jc w:val="center"/>
              <w:rPr>
                <w:rFonts w:ascii="宋体" w:hAnsi="宋体" w:cs="宋体"/>
                <w:kern w:val="0"/>
                <w:szCs w:val="21"/>
              </w:rPr>
            </w:pPr>
            <w:r>
              <w:rPr>
                <w:rFonts w:hint="eastAsia" w:ascii="宋体" w:hAnsi="宋体" w:cs="宋体"/>
                <w:kern w:val="0"/>
                <w:szCs w:val="21"/>
              </w:rPr>
              <w:t>2</w:t>
            </w:r>
          </w:p>
        </w:tc>
      </w:tr>
    </w:tbl>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无赔款优待等级计算规则为： </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1.首年投保，等级为0； </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2.非首年投保，考虑最近三年及以上连续投保和出险情况进行计算，计算规则如下： </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（1）连续四年及以上投保且没有发生赔款，等级为-4； </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（2）按照最近三年连续投保年数计算降级数，每连续投保1年降1级。按照最近三年出险情况计算升级数，每发1次赔款升1级。最终等级为升级数减去降级数，最高为5级。</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★自主定价系数需在中国银行保险监督管理委员会确定范围之内。</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报价人按以下表格依法依规根据自身优惠进行汽车商业保险报价：</w:t>
      </w:r>
    </w:p>
    <w:tbl>
      <w:tblPr>
        <w:tblStyle w:val="5"/>
        <w:tblW w:w="458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36"/>
        <w:gridCol w:w="1985"/>
        <w:gridCol w:w="2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hint="eastAsia" w:ascii="宋体" w:hAnsi="宋体" w:cs="宋体"/>
                <w:b w:val="0"/>
                <w:bCs w:val="0"/>
                <w:kern w:val="0"/>
                <w:szCs w:val="21"/>
              </w:rPr>
              <w:t>出险情况</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hint="eastAsia" w:ascii="宋体" w:hAnsi="宋体" w:cs="宋体"/>
                <w:b w:val="0"/>
                <w:bCs w:val="0"/>
                <w:kern w:val="0"/>
                <w:szCs w:val="21"/>
              </w:rPr>
              <w:t>自主定价系数</w:t>
            </w:r>
          </w:p>
        </w:tc>
        <w:tc>
          <w:tcPr>
            <w:tcW w:w="1528" w:type="pct"/>
            <w:tcBorders>
              <w:top w:val="single" w:color="000000" w:sz="4" w:space="0"/>
              <w:left w:val="single" w:color="000000" w:sz="4" w:space="0"/>
              <w:bottom w:val="single" w:color="000000" w:sz="4" w:space="0"/>
              <w:right w:val="single" w:color="000000" w:sz="4" w:space="0"/>
            </w:tcBorders>
          </w:tcPr>
          <w:p>
            <w:pPr>
              <w:pStyle w:val="10"/>
              <w:widowControl/>
              <w:spacing w:line="20" w:lineRule="atLeast"/>
              <w:jc w:val="center"/>
              <w:rPr>
                <w:rFonts w:ascii="宋体" w:hAnsi="宋体" w:cs="宋体"/>
                <w:b w:val="0"/>
                <w:bCs w:val="0"/>
                <w:kern w:val="0"/>
                <w:szCs w:val="21"/>
              </w:rPr>
            </w:pPr>
            <w:r>
              <w:rPr>
                <w:rFonts w:hint="eastAsia" w:ascii="宋体" w:hAnsi="宋体" w:cs="宋体"/>
                <w:b w:val="0"/>
                <w:bCs w:val="0"/>
                <w:kern w:val="0"/>
                <w:szCs w:val="21"/>
                <w:lang w:eastAsia="zh-CN"/>
              </w:rPr>
              <w:t>报价</w:t>
            </w:r>
            <w:r>
              <w:rPr>
                <w:rFonts w:hint="eastAsia" w:ascii="宋体" w:hAnsi="宋体" w:cs="宋体"/>
                <w:b w:val="0"/>
                <w:bCs w:val="0"/>
                <w:kern w:val="0"/>
                <w:szCs w:val="21"/>
              </w:rPr>
              <w:t>折扣</w:t>
            </w:r>
          </w:p>
          <w:p>
            <w:pPr>
              <w:pStyle w:val="10"/>
              <w:widowControl/>
              <w:spacing w:line="20" w:lineRule="atLeast"/>
              <w:jc w:val="center"/>
              <w:rPr>
                <w:rFonts w:ascii="宋体" w:hAnsi="宋体" w:cs="宋体"/>
                <w:b w:val="0"/>
                <w:bCs w:val="0"/>
                <w:kern w:val="0"/>
                <w:szCs w:val="21"/>
              </w:rPr>
            </w:pPr>
            <w:r>
              <w:rPr>
                <w:rFonts w:hint="eastAsia" w:ascii="宋体" w:hAnsi="宋体" w:cs="宋体"/>
                <w:b w:val="0"/>
                <w:bCs w:val="0"/>
                <w:kern w:val="0"/>
                <w:szCs w:val="21"/>
              </w:rPr>
              <w:t xml:space="preserve"> （单位：%）</w:t>
            </w:r>
          </w:p>
          <w:p>
            <w:pPr>
              <w:pStyle w:val="10"/>
              <w:widowControl/>
              <w:spacing w:line="20" w:lineRule="atLeast"/>
              <w:jc w:val="center"/>
              <w:rPr>
                <w:rFonts w:ascii="宋体" w:hAnsi="宋体" w:cs="宋体"/>
                <w:b w:val="0"/>
                <w:bCs w:val="0"/>
                <w:kern w:val="0"/>
                <w:szCs w:val="21"/>
              </w:rPr>
            </w:pPr>
            <w:r>
              <w:rPr>
                <w:rFonts w:hint="eastAsia" w:ascii="宋体" w:hAnsi="宋体" w:cs="宋体"/>
                <w:b w:val="0"/>
                <w:bCs w:val="0"/>
                <w:kern w:val="0"/>
                <w:szCs w:val="21"/>
              </w:rPr>
              <w:t>NCD系数*自主定价系数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NCD系数0.5</w:t>
            </w:r>
            <w:r>
              <w:rPr>
                <w:rFonts w:hint="eastAsia" w:ascii="宋体" w:hAnsi="宋体" w:cs="宋体"/>
                <w:b w:val="0"/>
                <w:bCs w:val="0"/>
                <w:kern w:val="0"/>
                <w:szCs w:val="21"/>
              </w:rPr>
              <w:t>（NCD等级-4）</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b w:val="0"/>
                <w:bCs w:val="0"/>
                <w:kern w:val="0"/>
                <w:szCs w:val="21"/>
              </w:rPr>
            </w:pPr>
          </w:p>
        </w:tc>
        <w:tc>
          <w:tcPr>
            <w:tcW w:w="1528"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NCD系数0.6</w:t>
            </w:r>
            <w:r>
              <w:rPr>
                <w:rFonts w:hint="eastAsia" w:ascii="宋体" w:hAnsi="宋体" w:cs="宋体"/>
                <w:b w:val="0"/>
                <w:bCs w:val="0"/>
                <w:kern w:val="0"/>
                <w:szCs w:val="21"/>
              </w:rPr>
              <w:t>（NCD等级-3）</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b w:val="0"/>
                <w:bCs w:val="0"/>
                <w:kern w:val="0"/>
                <w:szCs w:val="21"/>
              </w:rPr>
            </w:pPr>
          </w:p>
        </w:tc>
        <w:tc>
          <w:tcPr>
            <w:tcW w:w="1528"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NCD系数0.7</w:t>
            </w:r>
            <w:r>
              <w:rPr>
                <w:rFonts w:hint="eastAsia" w:ascii="宋体" w:hAnsi="宋体" w:cs="宋体"/>
                <w:b w:val="0"/>
                <w:bCs w:val="0"/>
                <w:kern w:val="0"/>
                <w:szCs w:val="21"/>
              </w:rPr>
              <w:t>（NCD等级-2）</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b w:val="0"/>
                <w:bCs w:val="0"/>
                <w:kern w:val="0"/>
                <w:szCs w:val="21"/>
              </w:rPr>
            </w:pPr>
          </w:p>
        </w:tc>
        <w:tc>
          <w:tcPr>
            <w:tcW w:w="1528"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NCD系数0.8</w:t>
            </w:r>
            <w:r>
              <w:rPr>
                <w:rFonts w:hint="eastAsia" w:ascii="宋体" w:hAnsi="宋体" w:cs="宋体"/>
                <w:b w:val="0"/>
                <w:bCs w:val="0"/>
                <w:kern w:val="0"/>
                <w:szCs w:val="21"/>
              </w:rPr>
              <w:t>（NCD等级-1）</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b w:val="0"/>
                <w:bCs w:val="0"/>
                <w:kern w:val="0"/>
                <w:szCs w:val="21"/>
              </w:rPr>
            </w:pPr>
          </w:p>
        </w:tc>
        <w:tc>
          <w:tcPr>
            <w:tcW w:w="1528"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NCD系数1</w:t>
            </w:r>
            <w:r>
              <w:rPr>
                <w:rFonts w:hint="eastAsia" w:ascii="宋体" w:hAnsi="宋体" w:cs="宋体"/>
                <w:b w:val="0"/>
                <w:bCs w:val="0"/>
                <w:kern w:val="0"/>
                <w:szCs w:val="21"/>
              </w:rPr>
              <w:t>（NCD等级0）</w:t>
            </w:r>
          </w:p>
        </w:tc>
        <w:tc>
          <w:tcPr>
            <w:tcW w:w="127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b w:val="0"/>
                <w:bCs w:val="0"/>
                <w:kern w:val="0"/>
                <w:szCs w:val="21"/>
              </w:rPr>
            </w:pPr>
          </w:p>
        </w:tc>
        <w:tc>
          <w:tcPr>
            <w:tcW w:w="1528"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NCD系数1.2</w:t>
            </w:r>
            <w:r>
              <w:rPr>
                <w:rFonts w:hint="eastAsia" w:ascii="宋体" w:hAnsi="宋体" w:cs="宋体"/>
                <w:b w:val="0"/>
                <w:bCs w:val="0"/>
                <w:kern w:val="0"/>
                <w:szCs w:val="21"/>
              </w:rPr>
              <w:t>（NCD等级1）</w:t>
            </w:r>
          </w:p>
        </w:tc>
        <w:tc>
          <w:tcPr>
            <w:tcW w:w="12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b w:val="0"/>
                <w:bCs w:val="0"/>
                <w:kern w:val="0"/>
                <w:szCs w:val="21"/>
              </w:rPr>
            </w:pPr>
          </w:p>
        </w:tc>
        <w:tc>
          <w:tcPr>
            <w:tcW w:w="1528"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NCD系数1.4</w:t>
            </w:r>
            <w:r>
              <w:rPr>
                <w:rFonts w:hint="eastAsia" w:ascii="宋体" w:hAnsi="宋体" w:cs="宋体"/>
                <w:b w:val="0"/>
                <w:bCs w:val="0"/>
                <w:kern w:val="0"/>
                <w:szCs w:val="21"/>
              </w:rPr>
              <w:t>（NCD等级2）</w:t>
            </w:r>
          </w:p>
        </w:tc>
        <w:tc>
          <w:tcPr>
            <w:tcW w:w="12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b w:val="0"/>
                <w:bCs w:val="0"/>
                <w:kern w:val="0"/>
                <w:szCs w:val="21"/>
              </w:rPr>
            </w:pPr>
          </w:p>
        </w:tc>
        <w:tc>
          <w:tcPr>
            <w:tcW w:w="1528"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NCD系数1.6</w:t>
            </w:r>
            <w:r>
              <w:rPr>
                <w:rFonts w:hint="eastAsia" w:ascii="宋体" w:hAnsi="宋体" w:cs="宋体"/>
                <w:b w:val="0"/>
                <w:bCs w:val="0"/>
                <w:kern w:val="0"/>
                <w:szCs w:val="21"/>
              </w:rPr>
              <w:t>（NCD等级3）</w:t>
            </w:r>
          </w:p>
        </w:tc>
        <w:tc>
          <w:tcPr>
            <w:tcW w:w="12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b w:val="0"/>
                <w:bCs w:val="0"/>
                <w:kern w:val="0"/>
                <w:szCs w:val="21"/>
              </w:rPr>
            </w:pPr>
          </w:p>
        </w:tc>
        <w:tc>
          <w:tcPr>
            <w:tcW w:w="1528"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NCD系数1.8</w:t>
            </w:r>
            <w:r>
              <w:rPr>
                <w:rFonts w:hint="eastAsia" w:ascii="宋体" w:hAnsi="宋体" w:cs="宋体"/>
                <w:b w:val="0"/>
                <w:bCs w:val="0"/>
                <w:kern w:val="0"/>
                <w:szCs w:val="21"/>
              </w:rPr>
              <w:t>（NCD等级4）</w:t>
            </w:r>
          </w:p>
        </w:tc>
        <w:tc>
          <w:tcPr>
            <w:tcW w:w="12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b w:val="0"/>
                <w:bCs w:val="0"/>
                <w:kern w:val="0"/>
                <w:szCs w:val="21"/>
              </w:rPr>
            </w:pPr>
          </w:p>
        </w:tc>
        <w:tc>
          <w:tcPr>
            <w:tcW w:w="1528"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b w:val="0"/>
                <w:bCs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0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b w:val="0"/>
                <w:bCs w:val="0"/>
                <w:kern w:val="0"/>
                <w:szCs w:val="21"/>
              </w:rPr>
            </w:pPr>
            <w:r>
              <w:rPr>
                <w:rFonts w:ascii="宋体" w:hAnsi="宋体" w:cs="宋体"/>
                <w:b w:val="0"/>
                <w:bCs w:val="0"/>
                <w:kern w:val="0"/>
                <w:szCs w:val="21"/>
              </w:rPr>
              <w:t>NCD系数2</w:t>
            </w:r>
            <w:r>
              <w:rPr>
                <w:rFonts w:hint="eastAsia" w:ascii="宋体" w:hAnsi="宋体" w:cs="宋体"/>
                <w:b w:val="0"/>
                <w:bCs w:val="0"/>
                <w:kern w:val="0"/>
                <w:szCs w:val="21"/>
              </w:rPr>
              <w:t>（NCD等级5）</w:t>
            </w:r>
          </w:p>
        </w:tc>
        <w:tc>
          <w:tcPr>
            <w:tcW w:w="127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b w:val="0"/>
                <w:bCs w:val="0"/>
                <w:kern w:val="0"/>
                <w:szCs w:val="21"/>
              </w:rPr>
            </w:pPr>
          </w:p>
        </w:tc>
        <w:tc>
          <w:tcPr>
            <w:tcW w:w="1528"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b w:val="0"/>
                <w:bCs w:val="0"/>
                <w:kern w:val="0"/>
                <w:szCs w:val="21"/>
              </w:rPr>
            </w:pPr>
          </w:p>
        </w:tc>
      </w:tr>
    </w:tbl>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汽车商业保险价格允许在中国保险行业协会商业车险费率基准上上浮，折扣可以大于100%。★报价人根据NCD系数等级要求报对应的自主定价系数，报价人所报的报价折扣（单位：%）=无赔款优待系数（NCD系数）×自主定价系数×100%，（注：报价折扣须转换成百分比形式，例如：0.65转换为65%），报价折扣必须为固定报价，不能为区间值（如：80%～90%等）。</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报价折扣是指按基准保费的若干成计价，如折扣80%，成交保费=基准保费*80%。</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十</w:t>
      </w:r>
      <w:r>
        <w:rPr>
          <w:rFonts w:hint="eastAsia" w:ascii="黑体" w:hAnsi="黑体" w:eastAsia="黑体" w:cs="黑体"/>
          <w:sz w:val="28"/>
          <w:szCs w:val="28"/>
        </w:rPr>
        <w:t>、项目结算</w:t>
      </w:r>
    </w:p>
    <w:p>
      <w:pPr>
        <w:spacing w:line="360" w:lineRule="auto"/>
        <w:ind w:left="48" w:right="59" w:firstLine="545"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的保险费为（具体以车辆实际投保结算的金额为准）：中选人应根据采购人选择的险种，在上一保单有效期前25个自然日内（特殊情况下需经招人同意），中选人在确定投保需求后填写车辆保险报价清单报采购人车辆使用单位（或部门）同意，采购人车辆使用单位（或部门）凭车辆保险报价清单、保险合同办理保费支付手续（车辆保险到期1台购买1台结算1台的方式进行），保费到账后的第1个自然日，中选人按相关规定向采购人车辆使用单位（或部门）提供不限于车辆保险清单和发票等资料。</w:t>
      </w:r>
    </w:p>
    <w:p>
      <w:pPr>
        <w:spacing w:line="360" w:lineRule="auto"/>
        <w:ind w:firstLine="560" w:firstLineChars="200"/>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十一、评审方法</w:t>
      </w:r>
    </w:p>
    <w:p>
      <w:pPr>
        <w:spacing w:line="360" w:lineRule="auto"/>
        <w:ind w:left="48" w:right="59" w:firstLine="545" w:firstLineChars="0"/>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满足采购文件要求，经评审的最低价格（折扣）的单位中选；如价格相同，则提供服务条件较优的单位中选。</w:t>
      </w:r>
    </w:p>
    <w:p>
      <w:pPr>
        <w:spacing w:line="360" w:lineRule="auto"/>
        <w:ind w:left="48" w:right="59" w:firstLine="545" w:firstLineChars="0"/>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计算价格评分：价格分统一采用价格优先法计算，各有效报价人、各NCD等级对应的报价折扣中，取最低折扣为评审基准价，其价格分为满分。其他报价人、各NCD等级对应的报价折扣得分（价格分）统一按照下列公式计算：</w:t>
      </w:r>
    </w:p>
    <w:tbl>
      <w:tblPr>
        <w:tblStyle w:val="5"/>
        <w:tblW w:w="907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3"/>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jc w:val="center"/>
              <w:rPr>
                <w:rFonts w:ascii="宋体" w:hAnsi="宋体"/>
                <w:szCs w:val="21"/>
              </w:rPr>
            </w:pPr>
            <w:r>
              <w:rPr>
                <w:rFonts w:hint="eastAsia" w:ascii="宋体" w:hAnsi="宋体"/>
                <w:szCs w:val="21"/>
              </w:rPr>
              <w:t>序号</w:t>
            </w:r>
          </w:p>
        </w:tc>
        <w:tc>
          <w:tcPr>
            <w:tcW w:w="8520" w:type="dxa"/>
            <w:vAlign w:val="center"/>
          </w:tcPr>
          <w:p>
            <w:pPr>
              <w:ind w:firstLine="105" w:firstLineChars="50"/>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1</w:t>
            </w:r>
          </w:p>
        </w:tc>
        <w:tc>
          <w:tcPr>
            <w:tcW w:w="8520" w:type="dxa"/>
            <w:vAlign w:val="center"/>
          </w:tcPr>
          <w:p>
            <w:pPr>
              <w:ind w:firstLine="105" w:firstLineChars="50"/>
              <w:jc w:val="left"/>
              <w:rPr>
                <w:rFonts w:ascii="宋体" w:hAnsi="宋体"/>
                <w:szCs w:val="21"/>
              </w:rPr>
            </w:pPr>
            <w:r>
              <w:rPr>
                <w:rFonts w:ascii="宋体" w:hAnsi="宋体"/>
                <w:szCs w:val="21"/>
              </w:rPr>
              <w:t>NCD系数</w:t>
            </w:r>
            <w:r>
              <w:rPr>
                <w:rFonts w:hint="eastAsia" w:ascii="宋体" w:hAnsi="宋体"/>
                <w:szCs w:val="21"/>
              </w:rPr>
              <w:t>0.5</w:t>
            </w:r>
            <w:r>
              <w:rPr>
                <w:rFonts w:ascii="宋体" w:hAnsi="宋体"/>
                <w:szCs w:val="21"/>
              </w:rPr>
              <w:t>（NCD等级-4）</w:t>
            </w:r>
            <w:r>
              <w:rPr>
                <w:rFonts w:hint="eastAsia" w:ascii="宋体" w:hAnsi="宋体" w:eastAsia="宋体"/>
                <w:szCs w:val="21"/>
                <w:lang w:val="en-US" w:eastAsia="zh-CN"/>
              </w:rPr>
              <w:t>报价</w:t>
            </w:r>
            <w:r>
              <w:rPr>
                <w:rFonts w:ascii="宋体" w:hAnsi="宋体"/>
                <w:szCs w:val="21"/>
              </w:rPr>
              <w:t>折扣(单位：%）评分=（评</w:t>
            </w:r>
            <w:r>
              <w:rPr>
                <w:rFonts w:hint="eastAsia" w:ascii="宋体" w:hAnsi="宋体" w:eastAsia="宋体"/>
                <w:szCs w:val="21"/>
                <w:lang w:val="en-US" w:eastAsia="zh-CN"/>
              </w:rPr>
              <w:t>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val="en-US"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2</w:t>
            </w:r>
          </w:p>
        </w:tc>
        <w:tc>
          <w:tcPr>
            <w:tcW w:w="8520" w:type="dxa"/>
            <w:vAlign w:val="center"/>
          </w:tcPr>
          <w:p>
            <w:pPr>
              <w:ind w:firstLine="105" w:firstLineChars="50"/>
              <w:jc w:val="left"/>
              <w:rPr>
                <w:rFonts w:ascii="宋体" w:hAnsi="宋体"/>
                <w:szCs w:val="21"/>
              </w:rPr>
            </w:pPr>
            <w:r>
              <w:rPr>
                <w:rFonts w:ascii="宋体" w:hAnsi="宋体"/>
                <w:szCs w:val="21"/>
              </w:rPr>
              <w:t>NCD系数</w:t>
            </w:r>
            <w:r>
              <w:rPr>
                <w:rFonts w:hint="eastAsia" w:ascii="宋体" w:hAnsi="宋体"/>
                <w:szCs w:val="21"/>
              </w:rPr>
              <w:t>0.6</w:t>
            </w:r>
            <w:r>
              <w:rPr>
                <w:rFonts w:ascii="宋体" w:hAnsi="宋体"/>
                <w:szCs w:val="21"/>
              </w:rPr>
              <w:t>（NCD等级-3）</w:t>
            </w:r>
            <w:r>
              <w:rPr>
                <w:rFonts w:hint="eastAsia" w:ascii="宋体" w:hAnsi="宋体" w:eastAsia="宋体"/>
                <w:szCs w:val="21"/>
                <w:lang w:val="en-US" w:eastAsia="zh-CN"/>
              </w:rPr>
              <w:t>报价</w:t>
            </w:r>
            <w:r>
              <w:rPr>
                <w:rFonts w:ascii="宋体" w:hAnsi="宋体"/>
                <w:szCs w:val="21"/>
              </w:rPr>
              <w:t>折扣(单位：%）评分=（评</w:t>
            </w:r>
            <w:r>
              <w:rPr>
                <w:rFonts w:hint="eastAsia" w:ascii="宋体" w:hAnsi="宋体" w:eastAsia="宋体"/>
                <w:szCs w:val="21"/>
                <w:lang w:val="en-US" w:eastAsia="zh-CN"/>
              </w:rPr>
              <w:t>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val="en-US"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3</w:t>
            </w:r>
          </w:p>
        </w:tc>
        <w:tc>
          <w:tcPr>
            <w:tcW w:w="8520" w:type="dxa"/>
            <w:vAlign w:val="center"/>
          </w:tcPr>
          <w:p>
            <w:pPr>
              <w:ind w:firstLine="105" w:firstLineChars="50"/>
              <w:jc w:val="left"/>
              <w:rPr>
                <w:rFonts w:ascii="宋体" w:hAnsi="宋体"/>
                <w:szCs w:val="21"/>
              </w:rPr>
            </w:pPr>
            <w:r>
              <w:rPr>
                <w:rFonts w:ascii="宋体" w:hAnsi="宋体"/>
                <w:szCs w:val="21"/>
              </w:rPr>
              <w:t>NCD系数</w:t>
            </w:r>
            <w:r>
              <w:rPr>
                <w:rFonts w:hint="eastAsia" w:ascii="宋体" w:hAnsi="宋体"/>
                <w:szCs w:val="21"/>
              </w:rPr>
              <w:t>0.7</w:t>
            </w:r>
            <w:r>
              <w:rPr>
                <w:rFonts w:ascii="宋体" w:hAnsi="宋体"/>
                <w:szCs w:val="21"/>
              </w:rPr>
              <w:t>（NCD等级-2）</w:t>
            </w:r>
            <w:r>
              <w:rPr>
                <w:rFonts w:hint="eastAsia" w:ascii="宋体" w:hAnsi="宋体" w:eastAsia="宋体"/>
                <w:szCs w:val="21"/>
                <w:lang w:eastAsia="zh-CN"/>
              </w:rPr>
              <w:t>报价</w:t>
            </w:r>
            <w:r>
              <w:rPr>
                <w:rFonts w:ascii="宋体" w:hAnsi="宋体"/>
                <w:szCs w:val="21"/>
              </w:rPr>
              <w:t>折扣(单位：%）评分=（</w:t>
            </w:r>
            <w:r>
              <w:rPr>
                <w:rFonts w:hint="eastAsia" w:ascii="宋体" w:hAnsi="宋体" w:eastAsia="宋体"/>
                <w:szCs w:val="21"/>
                <w:lang w:eastAsia="zh-CN"/>
              </w:rPr>
              <w:t>评审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4</w:t>
            </w:r>
          </w:p>
        </w:tc>
        <w:tc>
          <w:tcPr>
            <w:tcW w:w="8520" w:type="dxa"/>
            <w:vAlign w:val="center"/>
          </w:tcPr>
          <w:p>
            <w:pPr>
              <w:ind w:firstLine="105" w:firstLineChars="50"/>
              <w:jc w:val="left"/>
              <w:rPr>
                <w:rFonts w:ascii="宋体" w:hAnsi="宋体"/>
                <w:szCs w:val="21"/>
              </w:rPr>
            </w:pPr>
            <w:r>
              <w:rPr>
                <w:rFonts w:ascii="宋体" w:hAnsi="宋体"/>
                <w:szCs w:val="21"/>
              </w:rPr>
              <w:t>NCD系数</w:t>
            </w:r>
            <w:r>
              <w:rPr>
                <w:rFonts w:hint="eastAsia" w:ascii="宋体" w:hAnsi="宋体"/>
                <w:szCs w:val="21"/>
              </w:rPr>
              <w:t>0.8</w:t>
            </w:r>
            <w:r>
              <w:rPr>
                <w:rFonts w:ascii="宋体" w:hAnsi="宋体"/>
                <w:szCs w:val="21"/>
              </w:rPr>
              <w:t>（NCD等级-1）</w:t>
            </w:r>
            <w:r>
              <w:rPr>
                <w:rFonts w:hint="eastAsia" w:ascii="宋体" w:hAnsi="宋体" w:eastAsia="宋体"/>
                <w:szCs w:val="21"/>
                <w:lang w:eastAsia="zh-CN"/>
              </w:rPr>
              <w:t>报价</w:t>
            </w:r>
            <w:r>
              <w:rPr>
                <w:rFonts w:ascii="宋体" w:hAnsi="宋体"/>
                <w:szCs w:val="21"/>
              </w:rPr>
              <w:t>折扣(单位：%）评分=（</w:t>
            </w:r>
            <w:r>
              <w:rPr>
                <w:rFonts w:hint="eastAsia" w:ascii="宋体" w:hAnsi="宋体" w:eastAsia="宋体"/>
                <w:szCs w:val="21"/>
                <w:lang w:eastAsia="zh-CN"/>
              </w:rPr>
              <w:t>评审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5</w:t>
            </w:r>
          </w:p>
        </w:tc>
        <w:tc>
          <w:tcPr>
            <w:tcW w:w="8520" w:type="dxa"/>
            <w:vAlign w:val="center"/>
          </w:tcPr>
          <w:p>
            <w:pPr>
              <w:ind w:firstLine="105" w:firstLineChars="50"/>
              <w:jc w:val="left"/>
              <w:rPr>
                <w:rFonts w:ascii="宋体" w:hAnsi="宋体"/>
                <w:szCs w:val="21"/>
              </w:rPr>
            </w:pPr>
            <w:r>
              <w:rPr>
                <w:rFonts w:ascii="宋体" w:hAnsi="宋体"/>
                <w:szCs w:val="21"/>
              </w:rPr>
              <w:t>NCD系数1（NCD等级0）</w:t>
            </w:r>
            <w:r>
              <w:rPr>
                <w:rFonts w:hint="eastAsia" w:ascii="宋体" w:hAnsi="宋体" w:eastAsia="宋体"/>
                <w:szCs w:val="21"/>
                <w:lang w:eastAsia="zh-CN"/>
              </w:rPr>
              <w:t>报价</w:t>
            </w:r>
            <w:r>
              <w:rPr>
                <w:rFonts w:ascii="宋体" w:hAnsi="宋体"/>
                <w:szCs w:val="21"/>
              </w:rPr>
              <w:t>折扣(单位：%）评分=（</w:t>
            </w:r>
            <w:r>
              <w:rPr>
                <w:rFonts w:hint="eastAsia" w:ascii="宋体" w:hAnsi="宋体" w:eastAsia="宋体"/>
                <w:szCs w:val="21"/>
                <w:lang w:eastAsia="zh-CN"/>
              </w:rPr>
              <w:t>评审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6</w:t>
            </w:r>
          </w:p>
        </w:tc>
        <w:tc>
          <w:tcPr>
            <w:tcW w:w="8520" w:type="dxa"/>
            <w:vAlign w:val="center"/>
          </w:tcPr>
          <w:p>
            <w:pPr>
              <w:ind w:firstLine="105" w:firstLineChars="50"/>
              <w:jc w:val="left"/>
              <w:rPr>
                <w:rFonts w:ascii="宋体" w:hAnsi="宋体"/>
                <w:szCs w:val="21"/>
              </w:rPr>
            </w:pPr>
            <w:r>
              <w:rPr>
                <w:rFonts w:ascii="宋体" w:hAnsi="宋体"/>
                <w:szCs w:val="21"/>
              </w:rPr>
              <w:t>NCD系数</w:t>
            </w:r>
            <w:r>
              <w:rPr>
                <w:rFonts w:hint="eastAsia" w:ascii="宋体" w:hAnsi="宋体"/>
                <w:szCs w:val="21"/>
              </w:rPr>
              <w:t>1.2</w:t>
            </w:r>
            <w:r>
              <w:rPr>
                <w:rFonts w:ascii="宋体" w:hAnsi="宋体"/>
                <w:szCs w:val="21"/>
              </w:rPr>
              <w:t>（NCD等级1）</w:t>
            </w:r>
            <w:r>
              <w:rPr>
                <w:rFonts w:hint="eastAsia" w:ascii="宋体" w:hAnsi="宋体" w:eastAsia="宋体"/>
                <w:szCs w:val="21"/>
                <w:lang w:eastAsia="zh-CN"/>
              </w:rPr>
              <w:t>报价</w:t>
            </w:r>
            <w:r>
              <w:rPr>
                <w:rFonts w:ascii="宋体" w:hAnsi="宋体"/>
                <w:szCs w:val="21"/>
              </w:rPr>
              <w:t>折扣(单位：%）评分=（</w:t>
            </w:r>
            <w:r>
              <w:rPr>
                <w:rFonts w:hint="eastAsia" w:ascii="宋体" w:hAnsi="宋体" w:eastAsia="宋体"/>
                <w:szCs w:val="21"/>
                <w:lang w:eastAsia="zh-CN"/>
              </w:rPr>
              <w:t>评审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7</w:t>
            </w:r>
          </w:p>
        </w:tc>
        <w:tc>
          <w:tcPr>
            <w:tcW w:w="8520" w:type="dxa"/>
            <w:vAlign w:val="center"/>
          </w:tcPr>
          <w:p>
            <w:pPr>
              <w:ind w:firstLine="105" w:firstLineChars="50"/>
              <w:jc w:val="left"/>
              <w:rPr>
                <w:rFonts w:ascii="宋体" w:hAnsi="宋体"/>
                <w:szCs w:val="21"/>
              </w:rPr>
            </w:pPr>
            <w:r>
              <w:rPr>
                <w:rFonts w:ascii="宋体" w:hAnsi="宋体"/>
                <w:szCs w:val="21"/>
              </w:rPr>
              <w:t>NCD系数</w:t>
            </w:r>
            <w:r>
              <w:rPr>
                <w:rFonts w:hint="eastAsia" w:ascii="宋体" w:hAnsi="宋体"/>
                <w:szCs w:val="21"/>
              </w:rPr>
              <w:t>1.3</w:t>
            </w:r>
            <w:r>
              <w:rPr>
                <w:rFonts w:ascii="宋体" w:hAnsi="宋体"/>
                <w:szCs w:val="21"/>
              </w:rPr>
              <w:t>（NCD等级2）</w:t>
            </w:r>
            <w:r>
              <w:rPr>
                <w:rFonts w:hint="eastAsia" w:ascii="宋体" w:hAnsi="宋体" w:eastAsia="宋体"/>
                <w:szCs w:val="21"/>
                <w:lang w:eastAsia="zh-CN"/>
              </w:rPr>
              <w:t>报价</w:t>
            </w:r>
            <w:r>
              <w:rPr>
                <w:rFonts w:ascii="宋体" w:hAnsi="宋体"/>
                <w:szCs w:val="21"/>
              </w:rPr>
              <w:t>折扣(单位：%）评分=（</w:t>
            </w:r>
            <w:r>
              <w:rPr>
                <w:rFonts w:hint="eastAsia" w:ascii="宋体" w:hAnsi="宋体" w:eastAsia="宋体"/>
                <w:szCs w:val="21"/>
                <w:lang w:eastAsia="zh-CN"/>
              </w:rPr>
              <w:t>评审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8</w:t>
            </w:r>
          </w:p>
        </w:tc>
        <w:tc>
          <w:tcPr>
            <w:tcW w:w="8520" w:type="dxa"/>
            <w:vAlign w:val="center"/>
          </w:tcPr>
          <w:p>
            <w:pPr>
              <w:ind w:firstLine="105" w:firstLineChars="50"/>
              <w:jc w:val="left"/>
              <w:rPr>
                <w:rFonts w:ascii="宋体" w:hAnsi="宋体"/>
                <w:szCs w:val="21"/>
              </w:rPr>
            </w:pPr>
            <w:r>
              <w:rPr>
                <w:rFonts w:ascii="宋体" w:hAnsi="宋体"/>
                <w:szCs w:val="21"/>
              </w:rPr>
              <w:t>NCD系数</w:t>
            </w:r>
            <w:r>
              <w:rPr>
                <w:rFonts w:hint="eastAsia" w:ascii="宋体" w:hAnsi="宋体"/>
                <w:szCs w:val="21"/>
              </w:rPr>
              <w:t>1.6</w:t>
            </w:r>
            <w:r>
              <w:rPr>
                <w:rFonts w:ascii="宋体" w:hAnsi="宋体"/>
                <w:szCs w:val="21"/>
              </w:rPr>
              <w:t>（NCD等级3）</w:t>
            </w:r>
            <w:r>
              <w:rPr>
                <w:rFonts w:hint="eastAsia" w:ascii="宋体" w:hAnsi="宋体" w:eastAsia="宋体"/>
                <w:szCs w:val="21"/>
                <w:lang w:eastAsia="zh-CN"/>
              </w:rPr>
              <w:t>报价</w:t>
            </w:r>
            <w:r>
              <w:rPr>
                <w:rFonts w:ascii="宋体" w:hAnsi="宋体"/>
                <w:szCs w:val="21"/>
              </w:rPr>
              <w:t>折扣(单位：%）评分=（</w:t>
            </w:r>
            <w:r>
              <w:rPr>
                <w:rFonts w:hint="eastAsia" w:ascii="宋体" w:hAnsi="宋体" w:eastAsia="宋体"/>
                <w:szCs w:val="21"/>
                <w:lang w:eastAsia="zh-CN"/>
              </w:rPr>
              <w:t>评审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9</w:t>
            </w:r>
          </w:p>
        </w:tc>
        <w:tc>
          <w:tcPr>
            <w:tcW w:w="8520" w:type="dxa"/>
            <w:vAlign w:val="center"/>
          </w:tcPr>
          <w:p>
            <w:pPr>
              <w:ind w:firstLine="105" w:firstLineChars="50"/>
              <w:jc w:val="left"/>
              <w:rPr>
                <w:rFonts w:ascii="宋体" w:hAnsi="宋体"/>
                <w:szCs w:val="21"/>
              </w:rPr>
            </w:pPr>
            <w:r>
              <w:rPr>
                <w:rFonts w:ascii="宋体" w:hAnsi="宋体"/>
                <w:szCs w:val="21"/>
              </w:rPr>
              <w:t>NCD系数</w:t>
            </w:r>
            <w:r>
              <w:rPr>
                <w:rFonts w:hint="eastAsia" w:ascii="宋体" w:hAnsi="宋体"/>
                <w:szCs w:val="21"/>
              </w:rPr>
              <w:t>1.8</w:t>
            </w:r>
            <w:r>
              <w:rPr>
                <w:rFonts w:ascii="宋体" w:hAnsi="宋体"/>
                <w:szCs w:val="21"/>
              </w:rPr>
              <w:t>（NCD等级4）</w:t>
            </w:r>
            <w:r>
              <w:rPr>
                <w:rFonts w:hint="eastAsia" w:ascii="宋体" w:hAnsi="宋体" w:eastAsia="宋体"/>
                <w:szCs w:val="21"/>
                <w:lang w:eastAsia="zh-CN"/>
              </w:rPr>
              <w:t>报价</w:t>
            </w:r>
            <w:r>
              <w:rPr>
                <w:rFonts w:ascii="宋体" w:hAnsi="宋体"/>
                <w:szCs w:val="21"/>
              </w:rPr>
              <w:t>折扣(单位：%）评分=（</w:t>
            </w:r>
            <w:r>
              <w:rPr>
                <w:rFonts w:hint="eastAsia" w:ascii="宋体" w:hAnsi="宋体" w:eastAsia="宋体"/>
                <w:szCs w:val="21"/>
                <w:lang w:eastAsia="zh-CN"/>
              </w:rPr>
              <w:t>评审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r>
              <w:rPr>
                <w:rFonts w:hint="eastAsia" w:ascii="宋体" w:hAnsi="宋体"/>
                <w:szCs w:val="21"/>
              </w:rPr>
              <w:t>10</w:t>
            </w:r>
          </w:p>
        </w:tc>
        <w:tc>
          <w:tcPr>
            <w:tcW w:w="8520" w:type="dxa"/>
            <w:vAlign w:val="center"/>
          </w:tcPr>
          <w:p>
            <w:pPr>
              <w:ind w:firstLine="105" w:firstLineChars="50"/>
              <w:jc w:val="left"/>
              <w:rPr>
                <w:rFonts w:ascii="宋体" w:hAnsi="宋体"/>
                <w:szCs w:val="21"/>
              </w:rPr>
            </w:pPr>
            <w:r>
              <w:rPr>
                <w:rFonts w:ascii="宋体" w:hAnsi="宋体"/>
                <w:szCs w:val="21"/>
              </w:rPr>
              <w:t>NCD系数2（NCD等级5）</w:t>
            </w:r>
            <w:r>
              <w:rPr>
                <w:rFonts w:hint="eastAsia" w:ascii="宋体" w:hAnsi="宋体" w:eastAsia="宋体"/>
                <w:szCs w:val="21"/>
                <w:lang w:eastAsia="zh-CN"/>
              </w:rPr>
              <w:t>报价</w:t>
            </w:r>
            <w:r>
              <w:rPr>
                <w:rFonts w:ascii="宋体" w:hAnsi="宋体"/>
                <w:szCs w:val="21"/>
              </w:rPr>
              <w:t>折扣(单位：%）评分=（</w:t>
            </w:r>
            <w:r>
              <w:rPr>
                <w:rFonts w:hint="eastAsia" w:ascii="宋体" w:hAnsi="宋体" w:eastAsia="宋体"/>
                <w:szCs w:val="21"/>
                <w:lang w:eastAsia="zh-CN"/>
              </w:rPr>
              <w:t>评审</w:t>
            </w:r>
            <w:r>
              <w:rPr>
                <w:rFonts w:ascii="宋体" w:hAnsi="宋体"/>
                <w:szCs w:val="21"/>
              </w:rPr>
              <w:t>基准</w:t>
            </w:r>
            <w:r>
              <w:rPr>
                <w:rFonts w:hint="eastAsia" w:ascii="宋体" w:hAnsi="宋体"/>
                <w:szCs w:val="21"/>
              </w:rPr>
              <w:t>折扣</w:t>
            </w:r>
            <w:r>
              <w:rPr>
                <w:rFonts w:ascii="宋体" w:hAnsi="宋体"/>
                <w:szCs w:val="21"/>
              </w:rPr>
              <w:t>／</w:t>
            </w:r>
            <w:r>
              <w:rPr>
                <w:rFonts w:hint="eastAsia" w:ascii="宋体" w:hAnsi="宋体" w:eastAsia="宋体"/>
                <w:szCs w:val="21"/>
                <w:lang w:eastAsia="zh-CN"/>
              </w:rPr>
              <w:t>报价</w:t>
            </w:r>
            <w:r>
              <w:rPr>
                <w:rFonts w:hint="eastAsia" w:ascii="宋体" w:hAnsi="宋体"/>
                <w:szCs w:val="21"/>
              </w:rPr>
              <w:t>折扣</w:t>
            </w:r>
            <w:r>
              <w:rPr>
                <w:rFonts w:ascii="宋体" w:hAnsi="宋体"/>
                <w:szCs w:val="21"/>
              </w:rPr>
              <w:t>）×</w:t>
            </w:r>
            <w:r>
              <w:rPr>
                <w:rFonts w:hint="eastAsia" w:ascii="宋体" w:hAnsi="宋体"/>
                <w:szCs w:val="21"/>
              </w:rPr>
              <w:t>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53" w:type="dxa"/>
          </w:tcPr>
          <w:p>
            <w:pPr>
              <w:ind w:firstLine="105" w:firstLineChars="50"/>
              <w:jc w:val="center"/>
              <w:rPr>
                <w:rFonts w:ascii="宋体" w:hAnsi="宋体"/>
                <w:szCs w:val="21"/>
              </w:rPr>
            </w:pPr>
          </w:p>
        </w:tc>
        <w:tc>
          <w:tcPr>
            <w:tcW w:w="8520" w:type="dxa"/>
            <w:vAlign w:val="center"/>
          </w:tcPr>
          <w:p>
            <w:pPr>
              <w:ind w:firstLine="105" w:firstLineChars="50"/>
              <w:jc w:val="left"/>
              <w:rPr>
                <w:rFonts w:ascii="宋体" w:hAnsi="宋体"/>
                <w:szCs w:val="21"/>
              </w:rPr>
            </w:pPr>
            <w:r>
              <w:rPr>
                <w:rFonts w:hint="eastAsia" w:ascii="宋体" w:hAnsi="宋体"/>
                <w:szCs w:val="21"/>
              </w:rPr>
              <w:t>合计分：</w:t>
            </w:r>
            <w:r>
              <w:rPr>
                <w:rFonts w:hint="eastAsia" w:ascii="宋体" w:hAnsi="宋体"/>
                <w:szCs w:val="21"/>
                <w:u w:val="single"/>
              </w:rPr>
              <w:t xml:space="preserve">   </w:t>
            </w:r>
            <w:r>
              <w:rPr>
                <w:rFonts w:hint="eastAsia" w:ascii="宋体" w:hAnsi="宋体"/>
                <w:szCs w:val="21"/>
              </w:rPr>
              <w:t>分</w:t>
            </w:r>
          </w:p>
        </w:tc>
      </w:tr>
    </w:tbl>
    <w:p>
      <w:pPr>
        <w:spacing w:line="360" w:lineRule="auto"/>
        <w:ind w:left="48" w:right="59" w:firstLine="545" w:firstLineChars="0"/>
        <w:rPr>
          <w:rFonts w:hint="eastAsia" w:ascii="黑体" w:hAnsi="黑体" w:eastAsia="黑体" w:cs="黑体"/>
          <w:sz w:val="28"/>
          <w:szCs w:val="28"/>
        </w:rPr>
      </w:pPr>
      <w:r>
        <w:rPr>
          <w:rFonts w:hint="eastAsia" w:ascii="宋体" w:hAnsi="宋体" w:eastAsia="宋体" w:cs="宋体"/>
          <w:spacing w:val="0"/>
          <w:sz w:val="28"/>
          <w:szCs w:val="28"/>
          <w:lang w:val="en-US" w:eastAsia="zh-CN"/>
        </w:rPr>
        <w:t>以各报价单位、各NCD等级对应的折扣得分的合计分进行评审，合计分值最高的为中标候选人。</w:t>
      </w:r>
    </w:p>
    <w:p>
      <w:pPr>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十</w:t>
      </w:r>
      <w:r>
        <w:rPr>
          <w:rFonts w:hint="eastAsia" w:ascii="黑体" w:hAnsi="黑体" w:eastAsia="黑体" w:cs="黑体"/>
          <w:sz w:val="28"/>
          <w:szCs w:val="28"/>
          <w:lang w:val="en-US" w:eastAsia="zh-CN"/>
        </w:rPr>
        <w:t>二</w:t>
      </w:r>
      <w:r>
        <w:rPr>
          <w:rFonts w:hint="eastAsia" w:ascii="黑体" w:hAnsi="黑体" w:eastAsia="黑体" w:cs="黑体"/>
          <w:sz w:val="28"/>
          <w:szCs w:val="28"/>
        </w:rPr>
        <w:t>、附件</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1.2023-2024年度粤传媒及下属分子公司年度机动车保险服务采购项目报价表</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2.2023-2024年度粤传媒及下属分子公司（广报经营销售分公司除外）车辆情况表（另附文档）</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3.2023-2024年度广州日报报业经营有限公司销售分公司车辆情况表（另附文档）</w:t>
      </w:r>
    </w:p>
    <w:p>
      <w:pPr>
        <w:spacing w:line="360" w:lineRule="auto"/>
        <w:ind w:firstLine="560" w:firstLineChars="200"/>
        <w:rPr>
          <w:rFonts w:hint="default"/>
          <w:lang w:val="en-US" w:eastAsia="zh-CN"/>
        </w:rPr>
      </w:pPr>
      <w:r>
        <w:rPr>
          <w:rFonts w:hint="eastAsia" w:ascii="宋体" w:hAnsi="宋体" w:eastAsia="宋体" w:cs="宋体"/>
          <w:sz w:val="28"/>
          <w:szCs w:val="28"/>
          <w:lang w:val="en-US" w:eastAsia="zh-CN"/>
        </w:rPr>
        <w:t>4.广州日报报业经营有限公司销售分公司年度汽车保险保障条款</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5.法定代表人证明书</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6.法定代表人授权书</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7.报价人资格声明函</w:t>
      </w:r>
    </w:p>
    <w:p>
      <w:pPr>
        <w:keepNext w:val="0"/>
        <w:keepLines w:val="0"/>
        <w:pageBreakBefore w:val="0"/>
        <w:widowControl/>
        <w:kinsoku/>
        <w:wordWrap/>
        <w:overflowPunct/>
        <w:topLinePunct w:val="0"/>
        <w:autoSpaceDE/>
        <w:autoSpaceDN/>
        <w:bidi w:val="0"/>
        <w:adjustRightInd/>
        <w:snapToGrid/>
        <w:spacing w:line="360" w:lineRule="auto"/>
        <w:ind w:left="0" w:firstLine="560" w:firstLineChars="200"/>
        <w:textAlignment w:val="auto"/>
        <w:rPr>
          <w:rFonts w:hint="default" w:ascii="宋体" w:hAnsi="宋体" w:eastAsia="宋体" w:cs="宋体"/>
          <w:spacing w:val="0"/>
          <w:sz w:val="28"/>
          <w:szCs w:val="28"/>
          <w:lang w:val="en-US" w:eastAsia="zh-CN"/>
        </w:rPr>
      </w:pPr>
      <w:r>
        <w:rPr>
          <w:rFonts w:hint="eastAsia" w:ascii="宋体" w:hAnsi="宋体" w:eastAsia="宋体" w:cs="宋体"/>
          <w:sz w:val="28"/>
          <w:szCs w:val="28"/>
          <w:lang w:val="en-US" w:eastAsia="zh-CN"/>
        </w:rPr>
        <w:t>8.报价人同类项目业绩一览表</w:t>
      </w:r>
    </w:p>
    <w:p>
      <w:pPr>
        <w:spacing w:line="360" w:lineRule="auto"/>
        <w:ind w:firstLine="420" w:firstLineChars="200"/>
        <w:rPr>
          <w:rFonts w:hint="default"/>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ascii="宋体" w:hAnsi="宋体" w:eastAsia="宋体" w:cs="宋体"/>
          <w:sz w:val="28"/>
          <w:szCs w:val="28"/>
          <w:lang w:val="en-US" w:eastAsia="zh-CN"/>
        </w:rPr>
      </w:pPr>
    </w:p>
    <w:p>
      <w:pPr>
        <w:spacing w:before="179" w:line="219" w:lineRule="auto"/>
        <w:ind w:left="0"/>
        <w:rPr>
          <w:rFonts w:hint="eastAsia"/>
          <w:b/>
          <w:sz w:val="28"/>
          <w:szCs w:val="28"/>
        </w:rPr>
      </w:pPr>
      <w:r>
        <w:rPr>
          <w:rFonts w:hint="eastAsia" w:ascii="宋体" w:hAnsi="宋体" w:eastAsia="宋体" w:cs="宋体"/>
          <w:sz w:val="28"/>
          <w:szCs w:val="28"/>
          <w:lang w:val="en-US" w:eastAsia="zh-CN"/>
        </w:rPr>
        <w:t>附件1.</w:t>
      </w:r>
    </w:p>
    <w:p>
      <w:pPr>
        <w:jc w:val="center"/>
        <w:rPr>
          <w:rFonts w:hint="eastAsia"/>
          <w:b/>
          <w:sz w:val="28"/>
          <w:szCs w:val="28"/>
          <w:lang w:val="en-US" w:eastAsia="zh-CN"/>
        </w:rPr>
      </w:pPr>
      <w:r>
        <w:rPr>
          <w:rFonts w:hint="eastAsia"/>
          <w:b/>
          <w:sz w:val="28"/>
          <w:szCs w:val="28"/>
          <w:lang w:val="en-US" w:eastAsia="zh-CN"/>
        </w:rPr>
        <w:t>2023-2024年度</w:t>
      </w:r>
    </w:p>
    <w:p>
      <w:pPr>
        <w:jc w:val="center"/>
        <w:rPr>
          <w:rFonts w:hint="eastAsia"/>
          <w:b/>
          <w:sz w:val="28"/>
          <w:szCs w:val="28"/>
        </w:rPr>
      </w:pPr>
      <w:r>
        <w:rPr>
          <w:rFonts w:hint="eastAsia"/>
          <w:b/>
          <w:sz w:val="28"/>
          <w:szCs w:val="28"/>
        </w:rPr>
        <w:t>粤传媒及下属分子公司年度机动车保险服务报价表</w:t>
      </w:r>
    </w:p>
    <w:p>
      <w:pPr>
        <w:spacing w:line="360" w:lineRule="auto"/>
        <w:rPr>
          <w:rFonts w:hint="eastAsia" w:asciiTheme="minorEastAsia" w:hAnsiTheme="minorEastAsia" w:eastAsiaTheme="minorEastAsia"/>
          <w:kern w:val="28"/>
        </w:rPr>
      </w:pPr>
    </w:p>
    <w:p>
      <w:pPr>
        <w:spacing w:line="360" w:lineRule="auto"/>
        <w:rPr>
          <w:rFonts w:hint="eastAsia" w:asciiTheme="minorEastAsia" w:hAnsiTheme="minorEastAsia" w:eastAsiaTheme="minorEastAsia"/>
          <w:kern w:val="28"/>
        </w:rPr>
      </w:pPr>
      <w:r>
        <w:rPr>
          <w:rFonts w:hint="eastAsia" w:asciiTheme="minorEastAsia" w:hAnsiTheme="minorEastAsia" w:eastAsiaTheme="minorEastAsia"/>
          <w:kern w:val="28"/>
        </w:rPr>
        <w:t>广东广州日报传媒股份有限公司：</w:t>
      </w:r>
    </w:p>
    <w:p>
      <w:pPr>
        <w:spacing w:line="360" w:lineRule="auto"/>
        <w:ind w:firstLine="420" w:firstLineChars="200"/>
        <w:rPr>
          <w:rFonts w:hint="eastAsia" w:asciiTheme="minorEastAsia" w:hAnsiTheme="minorEastAsia" w:eastAsiaTheme="minorEastAsia"/>
          <w:kern w:val="28"/>
        </w:rPr>
      </w:pPr>
      <w:r>
        <w:rPr>
          <w:rFonts w:hint="eastAsia" w:asciiTheme="minorEastAsia" w:hAnsiTheme="minorEastAsia" w:eastAsiaTheme="minorEastAsia"/>
          <w:kern w:val="28"/>
        </w:rPr>
        <w:t>我司已清楚20</w:t>
      </w:r>
      <w:r>
        <w:rPr>
          <w:rFonts w:hint="eastAsia" w:asciiTheme="minorEastAsia" w:hAnsiTheme="minorEastAsia" w:eastAsiaTheme="minorEastAsia"/>
          <w:kern w:val="28"/>
          <w:lang w:val="en-US" w:eastAsia="zh-CN"/>
        </w:rPr>
        <w:t>23-2024年度</w:t>
      </w:r>
      <w:r>
        <w:rPr>
          <w:rFonts w:hint="eastAsia" w:asciiTheme="minorEastAsia" w:hAnsiTheme="minorEastAsia" w:eastAsiaTheme="minorEastAsia"/>
          <w:kern w:val="28"/>
        </w:rPr>
        <w:t>粤传媒及下属分子公司年度机动车保险服务项目</w:t>
      </w:r>
      <w:r>
        <w:rPr>
          <w:rFonts w:hint="eastAsia" w:asciiTheme="minorEastAsia" w:hAnsiTheme="minorEastAsia" w:eastAsiaTheme="minorEastAsia"/>
          <w:kern w:val="28"/>
          <w:lang w:val="en-US" w:eastAsia="zh-CN"/>
        </w:rPr>
        <w:t>采购文件</w:t>
      </w:r>
      <w:r>
        <w:rPr>
          <w:rFonts w:hint="eastAsia" w:asciiTheme="minorEastAsia" w:hAnsiTheme="minorEastAsia" w:eastAsiaTheme="minorEastAsia"/>
          <w:kern w:val="28"/>
        </w:rPr>
        <w:t>的全部内容，对本项目商业险部分的报价如下：</w:t>
      </w:r>
    </w:p>
    <w:tbl>
      <w:tblPr>
        <w:tblStyle w:val="5"/>
        <w:tblW w:w="533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83"/>
        <w:gridCol w:w="2125"/>
        <w:gridCol w:w="2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kern w:val="0"/>
                <w:szCs w:val="21"/>
              </w:rPr>
            </w:pPr>
            <w:r>
              <w:rPr>
                <w:rFonts w:hint="eastAsia" w:ascii="宋体" w:hAnsi="宋体" w:cs="宋体"/>
                <w:b/>
                <w:bCs/>
                <w:kern w:val="0"/>
                <w:szCs w:val="21"/>
              </w:rPr>
              <w:t>出险情况</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b/>
                <w:bCs/>
                <w:kern w:val="0"/>
                <w:szCs w:val="21"/>
              </w:rPr>
            </w:pPr>
            <w:r>
              <w:rPr>
                <w:rFonts w:hint="eastAsia" w:ascii="宋体" w:hAnsi="宋体" w:cs="宋体"/>
                <w:b/>
                <w:bCs/>
                <w:kern w:val="0"/>
                <w:szCs w:val="21"/>
              </w:rPr>
              <w:t>自主定价系数</w:t>
            </w:r>
          </w:p>
        </w:tc>
        <w:tc>
          <w:tcPr>
            <w:tcW w:w="1584" w:type="pct"/>
            <w:tcBorders>
              <w:top w:val="single" w:color="000000" w:sz="4" w:space="0"/>
              <w:left w:val="single" w:color="000000" w:sz="4" w:space="0"/>
              <w:bottom w:val="single" w:color="000000" w:sz="4" w:space="0"/>
              <w:right w:val="single" w:color="000000" w:sz="4" w:space="0"/>
            </w:tcBorders>
            <w:vAlign w:val="center"/>
          </w:tcPr>
          <w:p>
            <w:pPr>
              <w:pStyle w:val="10"/>
              <w:widowControl/>
              <w:spacing w:line="20" w:lineRule="atLeast"/>
              <w:jc w:val="center"/>
              <w:rPr>
                <w:rFonts w:ascii="宋体" w:hAnsi="宋体" w:cs="宋体"/>
                <w:b/>
                <w:bCs/>
                <w:kern w:val="0"/>
                <w:szCs w:val="21"/>
              </w:rPr>
            </w:pPr>
            <w:r>
              <w:rPr>
                <w:rFonts w:hint="eastAsia" w:ascii="宋体" w:hAnsi="宋体" w:cs="宋体"/>
                <w:b/>
                <w:bCs/>
                <w:kern w:val="0"/>
                <w:szCs w:val="21"/>
                <w:lang w:eastAsia="zh-CN"/>
              </w:rPr>
              <w:t>报价</w:t>
            </w:r>
            <w:r>
              <w:rPr>
                <w:rFonts w:hint="eastAsia" w:ascii="宋体" w:hAnsi="宋体" w:cs="宋体"/>
                <w:b/>
                <w:bCs/>
                <w:kern w:val="0"/>
                <w:szCs w:val="21"/>
              </w:rPr>
              <w:t>折扣</w:t>
            </w:r>
          </w:p>
          <w:p>
            <w:pPr>
              <w:pStyle w:val="10"/>
              <w:widowControl/>
              <w:spacing w:line="20" w:lineRule="atLeast"/>
              <w:jc w:val="center"/>
              <w:rPr>
                <w:rFonts w:ascii="宋体" w:hAnsi="宋体" w:cs="宋体"/>
                <w:b/>
                <w:bCs/>
                <w:kern w:val="0"/>
                <w:szCs w:val="21"/>
              </w:rPr>
            </w:pPr>
            <w:r>
              <w:rPr>
                <w:rFonts w:hint="eastAsia" w:ascii="宋体" w:hAnsi="宋体" w:cs="宋体"/>
                <w:b/>
                <w:bCs/>
                <w:kern w:val="0"/>
                <w:szCs w:val="21"/>
              </w:rPr>
              <w:t>（单位：%）</w:t>
            </w:r>
          </w:p>
          <w:p>
            <w:pPr>
              <w:pStyle w:val="10"/>
              <w:widowControl/>
              <w:spacing w:line="20" w:lineRule="atLeast"/>
              <w:jc w:val="center"/>
              <w:rPr>
                <w:rFonts w:ascii="宋体" w:hAnsi="宋体" w:cs="宋体"/>
                <w:b/>
                <w:bCs/>
                <w:kern w:val="0"/>
                <w:szCs w:val="21"/>
              </w:rPr>
            </w:pPr>
            <w:r>
              <w:rPr>
                <w:rFonts w:hint="eastAsia" w:ascii="宋体" w:hAnsi="宋体" w:cs="宋体"/>
                <w:b/>
                <w:bCs/>
                <w:kern w:val="0"/>
                <w:szCs w:val="21"/>
              </w:rPr>
              <w:t>NCD系数*自主定价系数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0.5</w:t>
            </w:r>
            <w:r>
              <w:rPr>
                <w:rFonts w:hint="eastAsia" w:ascii="宋体" w:hAnsi="宋体" w:cs="宋体"/>
                <w:bCs/>
                <w:kern w:val="0"/>
                <w:szCs w:val="21"/>
              </w:rPr>
              <w:t>（NCD等级</w:t>
            </w:r>
            <w:r>
              <w:rPr>
                <w:rFonts w:hint="eastAsia" w:ascii="宋体" w:hAnsi="宋体" w:cs="宋体"/>
                <w:kern w:val="0"/>
                <w:szCs w:val="21"/>
              </w:rPr>
              <w:t>-4）</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kern w:val="0"/>
                <w:szCs w:val="21"/>
              </w:rPr>
            </w:pPr>
          </w:p>
        </w:tc>
        <w:tc>
          <w:tcPr>
            <w:tcW w:w="1584"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0.6</w:t>
            </w:r>
            <w:r>
              <w:rPr>
                <w:rFonts w:hint="eastAsia" w:ascii="宋体" w:hAnsi="宋体" w:cs="宋体"/>
                <w:bCs/>
                <w:kern w:val="0"/>
                <w:szCs w:val="21"/>
              </w:rPr>
              <w:t>（NCD等级</w:t>
            </w:r>
            <w:r>
              <w:rPr>
                <w:rFonts w:hint="eastAsia" w:ascii="宋体" w:hAnsi="宋体" w:cs="宋体"/>
                <w:kern w:val="0"/>
                <w:szCs w:val="21"/>
              </w:rPr>
              <w:t>-3）</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kern w:val="0"/>
                <w:szCs w:val="21"/>
              </w:rPr>
            </w:pPr>
          </w:p>
        </w:tc>
        <w:tc>
          <w:tcPr>
            <w:tcW w:w="1584"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0.7</w:t>
            </w:r>
            <w:r>
              <w:rPr>
                <w:rFonts w:hint="eastAsia" w:ascii="宋体" w:hAnsi="宋体" w:cs="宋体"/>
                <w:bCs/>
                <w:kern w:val="0"/>
                <w:szCs w:val="21"/>
              </w:rPr>
              <w:t>（NCD等级</w:t>
            </w:r>
            <w:r>
              <w:rPr>
                <w:rFonts w:hint="eastAsia" w:ascii="宋体" w:hAnsi="宋体" w:cs="宋体"/>
                <w:kern w:val="0"/>
                <w:szCs w:val="21"/>
              </w:rPr>
              <w:t>-2）</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kern w:val="0"/>
                <w:szCs w:val="21"/>
              </w:rPr>
            </w:pPr>
          </w:p>
        </w:tc>
        <w:tc>
          <w:tcPr>
            <w:tcW w:w="1584"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0.8</w:t>
            </w:r>
            <w:r>
              <w:rPr>
                <w:rFonts w:hint="eastAsia" w:ascii="宋体" w:hAnsi="宋体" w:cs="宋体"/>
                <w:bCs/>
                <w:kern w:val="0"/>
                <w:szCs w:val="21"/>
              </w:rPr>
              <w:t>（NCD等级</w:t>
            </w:r>
            <w:r>
              <w:rPr>
                <w:rFonts w:hint="eastAsia" w:ascii="宋体" w:hAnsi="宋体" w:cs="宋体"/>
                <w:kern w:val="0"/>
                <w:szCs w:val="21"/>
              </w:rPr>
              <w:t>-1）</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kern w:val="0"/>
                <w:szCs w:val="21"/>
              </w:rPr>
            </w:pPr>
          </w:p>
        </w:tc>
        <w:tc>
          <w:tcPr>
            <w:tcW w:w="1584"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1</w:t>
            </w:r>
            <w:r>
              <w:rPr>
                <w:rFonts w:hint="eastAsia" w:ascii="宋体" w:hAnsi="宋体" w:cs="宋体"/>
                <w:bCs/>
                <w:kern w:val="0"/>
                <w:szCs w:val="21"/>
              </w:rPr>
              <w:t>（NCD等级</w:t>
            </w:r>
            <w:r>
              <w:rPr>
                <w:rFonts w:hint="eastAsia" w:ascii="宋体" w:hAnsi="宋体" w:cs="宋体"/>
                <w:kern w:val="0"/>
                <w:szCs w:val="21"/>
              </w:rPr>
              <w:t>0）</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widowControl/>
              <w:tabs>
                <w:tab w:val="left" w:pos="180"/>
                <w:tab w:val="left" w:pos="1620"/>
              </w:tabs>
              <w:spacing w:line="360" w:lineRule="auto"/>
              <w:jc w:val="center"/>
              <w:rPr>
                <w:rFonts w:ascii="宋体" w:hAnsi="宋体" w:cs="宋体"/>
                <w:kern w:val="0"/>
                <w:szCs w:val="21"/>
              </w:rPr>
            </w:pPr>
          </w:p>
        </w:tc>
        <w:tc>
          <w:tcPr>
            <w:tcW w:w="1584" w:type="pct"/>
            <w:tcBorders>
              <w:top w:val="single" w:color="000000" w:sz="4" w:space="0"/>
              <w:left w:val="single" w:color="000000" w:sz="4" w:space="0"/>
              <w:bottom w:val="single" w:color="000000" w:sz="4" w:space="0"/>
              <w:right w:val="single" w:color="000000" w:sz="4" w:space="0"/>
            </w:tcBorders>
          </w:tcPr>
          <w:p>
            <w:pPr>
              <w:pStyle w:val="10"/>
              <w:widowControl/>
              <w:tabs>
                <w:tab w:val="left" w:pos="180"/>
                <w:tab w:val="left" w:pos="1620"/>
              </w:tabs>
              <w:spacing w:line="360" w:lineRule="auto"/>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1.2</w:t>
            </w:r>
            <w:r>
              <w:rPr>
                <w:rFonts w:hint="eastAsia" w:ascii="宋体" w:hAnsi="宋体" w:cs="宋体"/>
                <w:bCs/>
                <w:kern w:val="0"/>
                <w:szCs w:val="21"/>
              </w:rPr>
              <w:t>（NCD等级</w:t>
            </w:r>
            <w:r>
              <w:rPr>
                <w:rFonts w:hint="eastAsia" w:ascii="宋体" w:hAnsi="宋体" w:cs="宋体"/>
                <w:kern w:val="0"/>
                <w:szCs w:val="21"/>
              </w:rPr>
              <w:t>1）</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kern w:val="0"/>
                <w:szCs w:val="21"/>
              </w:rPr>
            </w:pPr>
          </w:p>
        </w:tc>
        <w:tc>
          <w:tcPr>
            <w:tcW w:w="1584"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1.4</w:t>
            </w:r>
            <w:r>
              <w:rPr>
                <w:rFonts w:hint="eastAsia" w:ascii="宋体" w:hAnsi="宋体" w:cs="宋体"/>
                <w:bCs/>
                <w:kern w:val="0"/>
                <w:szCs w:val="21"/>
              </w:rPr>
              <w:t>（NCD等级</w:t>
            </w:r>
            <w:r>
              <w:rPr>
                <w:rFonts w:hint="eastAsia" w:ascii="宋体" w:hAnsi="宋体" w:cs="宋体"/>
                <w:kern w:val="0"/>
                <w:szCs w:val="21"/>
              </w:rPr>
              <w:t>2）</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kern w:val="0"/>
                <w:szCs w:val="21"/>
              </w:rPr>
            </w:pPr>
          </w:p>
        </w:tc>
        <w:tc>
          <w:tcPr>
            <w:tcW w:w="1584"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1.6</w:t>
            </w:r>
            <w:r>
              <w:rPr>
                <w:rFonts w:hint="eastAsia" w:ascii="宋体" w:hAnsi="宋体" w:cs="宋体"/>
                <w:bCs/>
                <w:kern w:val="0"/>
                <w:szCs w:val="21"/>
              </w:rPr>
              <w:t>（NCD等级</w:t>
            </w:r>
            <w:r>
              <w:rPr>
                <w:rFonts w:hint="eastAsia" w:ascii="宋体" w:hAnsi="宋体" w:cs="宋体"/>
                <w:kern w:val="0"/>
                <w:szCs w:val="21"/>
              </w:rPr>
              <w:t>3）</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kern w:val="0"/>
                <w:szCs w:val="21"/>
              </w:rPr>
            </w:pPr>
          </w:p>
        </w:tc>
        <w:tc>
          <w:tcPr>
            <w:tcW w:w="1584"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1.8</w:t>
            </w:r>
            <w:r>
              <w:rPr>
                <w:rFonts w:hint="eastAsia" w:ascii="宋体" w:hAnsi="宋体" w:cs="宋体"/>
                <w:bCs/>
                <w:kern w:val="0"/>
                <w:szCs w:val="21"/>
              </w:rPr>
              <w:t>（NCD等级</w:t>
            </w:r>
            <w:r>
              <w:rPr>
                <w:rFonts w:hint="eastAsia" w:ascii="宋体" w:hAnsi="宋体" w:cs="宋体"/>
                <w:kern w:val="0"/>
                <w:szCs w:val="21"/>
              </w:rPr>
              <w:t>4）</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kern w:val="0"/>
                <w:szCs w:val="21"/>
              </w:rPr>
            </w:pPr>
          </w:p>
        </w:tc>
        <w:tc>
          <w:tcPr>
            <w:tcW w:w="1584"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line="20" w:lineRule="atLeast"/>
              <w:jc w:val="center"/>
              <w:rPr>
                <w:rFonts w:ascii="宋体" w:hAnsi="宋体" w:cs="宋体"/>
                <w:kern w:val="0"/>
                <w:szCs w:val="21"/>
              </w:rPr>
            </w:pPr>
            <w:r>
              <w:rPr>
                <w:rFonts w:ascii="宋体" w:hAnsi="宋体" w:cs="宋体"/>
                <w:bCs/>
                <w:kern w:val="0"/>
                <w:szCs w:val="21"/>
              </w:rPr>
              <w:t>NCD系数</w:t>
            </w:r>
            <w:r>
              <w:rPr>
                <w:rFonts w:ascii="宋体" w:hAnsi="宋体" w:cs="宋体"/>
                <w:kern w:val="0"/>
                <w:szCs w:val="21"/>
              </w:rPr>
              <w:t>2</w:t>
            </w:r>
            <w:r>
              <w:rPr>
                <w:rFonts w:hint="eastAsia" w:ascii="宋体" w:hAnsi="宋体" w:cs="宋体"/>
                <w:bCs/>
                <w:kern w:val="0"/>
                <w:szCs w:val="21"/>
              </w:rPr>
              <w:t>（NCD等级</w:t>
            </w:r>
            <w:r>
              <w:rPr>
                <w:rFonts w:hint="eastAsia" w:ascii="宋体" w:hAnsi="宋体" w:cs="宋体"/>
                <w:kern w:val="0"/>
                <w:szCs w:val="21"/>
              </w:rPr>
              <w:t>5）</w:t>
            </w:r>
          </w:p>
        </w:tc>
        <w:tc>
          <w:tcPr>
            <w:tcW w:w="116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tabs>
                <w:tab w:val="left" w:pos="180"/>
                <w:tab w:val="left" w:pos="1620"/>
              </w:tabs>
              <w:spacing w:line="360" w:lineRule="auto"/>
              <w:ind w:left="108"/>
              <w:jc w:val="center"/>
              <w:rPr>
                <w:rFonts w:ascii="宋体" w:hAnsi="宋体" w:cs="宋体"/>
                <w:kern w:val="0"/>
                <w:szCs w:val="21"/>
              </w:rPr>
            </w:pPr>
          </w:p>
        </w:tc>
        <w:tc>
          <w:tcPr>
            <w:tcW w:w="1584" w:type="pct"/>
            <w:tcBorders>
              <w:top w:val="single" w:color="auto" w:sz="4" w:space="0"/>
              <w:left w:val="single" w:color="auto" w:sz="4" w:space="0"/>
              <w:bottom w:val="single" w:color="auto" w:sz="4" w:space="0"/>
              <w:right w:val="single" w:color="auto" w:sz="4" w:space="0"/>
            </w:tcBorders>
          </w:tcPr>
          <w:p>
            <w:pPr>
              <w:pStyle w:val="10"/>
              <w:widowControl/>
              <w:tabs>
                <w:tab w:val="left" w:pos="180"/>
                <w:tab w:val="left" w:pos="1620"/>
              </w:tabs>
              <w:spacing w:line="360" w:lineRule="auto"/>
              <w:ind w:left="108"/>
              <w:jc w:val="center"/>
              <w:rPr>
                <w:rFonts w:ascii="宋体" w:hAnsi="宋体" w:cs="宋体"/>
                <w:kern w:val="0"/>
                <w:szCs w:val="21"/>
              </w:rPr>
            </w:pPr>
          </w:p>
        </w:tc>
      </w:tr>
    </w:tbl>
    <w:p>
      <w:pPr>
        <w:pStyle w:val="11"/>
        <w:spacing w:line="360" w:lineRule="auto"/>
        <w:rPr>
          <w:rFonts w:ascii="宋体" w:hAnsi="宋体"/>
          <w:szCs w:val="21"/>
        </w:rPr>
      </w:pPr>
      <w:r>
        <w:rPr>
          <w:rFonts w:hint="eastAsia" w:ascii="宋体" w:hAnsi="宋体"/>
          <w:b/>
          <w:szCs w:val="21"/>
        </w:rPr>
        <w:t>我司承诺</w:t>
      </w:r>
      <w:r>
        <w:rPr>
          <w:rFonts w:hint="eastAsia" w:ascii="宋体" w:hAnsi="宋体"/>
          <w:szCs w:val="21"/>
        </w:rPr>
        <w:t>：</w:t>
      </w:r>
    </w:p>
    <w:p>
      <w:pPr>
        <w:spacing w:line="360" w:lineRule="auto"/>
        <w:ind w:firstLine="420" w:firstLineChars="200"/>
        <w:rPr>
          <w:rFonts w:asciiTheme="minorEastAsia" w:hAnsiTheme="minorEastAsia" w:eastAsiaTheme="minorEastAsia"/>
          <w:kern w:val="28"/>
        </w:rPr>
      </w:pPr>
      <w:r>
        <w:rPr>
          <w:rFonts w:hint="eastAsia" w:asciiTheme="minorEastAsia" w:hAnsiTheme="minorEastAsia" w:eastAsiaTheme="minorEastAsia"/>
          <w:kern w:val="28"/>
        </w:rPr>
        <w:t>1</w:t>
      </w:r>
      <w:r>
        <w:rPr>
          <w:rFonts w:hint="eastAsia" w:asciiTheme="minorEastAsia" w:hAnsiTheme="minorEastAsia" w:eastAsiaTheme="minorEastAsia"/>
          <w:kern w:val="28"/>
          <w:lang w:eastAsia="zh-CN"/>
        </w:rPr>
        <w:t>.</w:t>
      </w:r>
      <w:r>
        <w:rPr>
          <w:rFonts w:hint="eastAsia" w:asciiTheme="minorEastAsia" w:hAnsiTheme="minorEastAsia" w:eastAsiaTheme="minorEastAsia"/>
          <w:kern w:val="28"/>
        </w:rPr>
        <w:t>汽车交通事故责任强制保险（含汽车车船税）须按银保监会制定的《机动车交通事故责任强制保险费率方案》（以最新版本为准）的统一规定执行。</w:t>
      </w:r>
    </w:p>
    <w:p>
      <w:pPr>
        <w:spacing w:line="360" w:lineRule="auto"/>
        <w:ind w:firstLine="420" w:firstLineChars="200"/>
        <w:rPr>
          <w:rFonts w:hint="eastAsia" w:asciiTheme="minorEastAsia" w:hAnsiTheme="minorEastAsia" w:eastAsiaTheme="minorEastAsia"/>
          <w:kern w:val="28"/>
        </w:rPr>
      </w:pPr>
      <w:r>
        <w:rPr>
          <w:rFonts w:hint="eastAsia" w:asciiTheme="minorEastAsia" w:hAnsiTheme="minorEastAsia" w:eastAsiaTheme="minorEastAsia"/>
          <w:kern w:val="28"/>
        </w:rPr>
        <w:t>2</w:t>
      </w:r>
      <w:r>
        <w:rPr>
          <w:rFonts w:hint="eastAsia" w:asciiTheme="minorEastAsia" w:hAnsiTheme="minorEastAsia" w:eastAsiaTheme="minorEastAsia"/>
          <w:kern w:val="28"/>
          <w:lang w:eastAsia="zh-CN"/>
        </w:rPr>
        <w:t>.</w:t>
      </w:r>
      <w:r>
        <w:rPr>
          <w:rFonts w:hint="eastAsia" w:asciiTheme="minorEastAsia" w:hAnsiTheme="minorEastAsia" w:eastAsiaTheme="minorEastAsia"/>
          <w:kern w:val="28"/>
        </w:rPr>
        <w:t>汽车商业保险价格允许在中国保险行业协会商业车险费率基准上上浮，折扣可以大于100%。★</w:t>
      </w:r>
      <w:r>
        <w:rPr>
          <w:rFonts w:hint="eastAsia" w:asciiTheme="minorEastAsia" w:hAnsiTheme="minorEastAsia" w:eastAsiaTheme="minorEastAsia"/>
          <w:kern w:val="28"/>
          <w:lang w:eastAsia="zh-CN"/>
        </w:rPr>
        <w:t>报价人</w:t>
      </w:r>
      <w:r>
        <w:rPr>
          <w:rFonts w:hint="eastAsia" w:asciiTheme="minorEastAsia" w:hAnsiTheme="minorEastAsia" w:eastAsiaTheme="minorEastAsia"/>
          <w:kern w:val="28"/>
        </w:rPr>
        <w:t>根据NCD系数等级要求报对应的自主定价系数，</w:t>
      </w:r>
      <w:r>
        <w:rPr>
          <w:rFonts w:hint="eastAsia" w:asciiTheme="minorEastAsia" w:hAnsiTheme="minorEastAsia" w:eastAsiaTheme="minorEastAsia"/>
          <w:kern w:val="28"/>
          <w:lang w:eastAsia="zh-CN"/>
        </w:rPr>
        <w:t>报价人</w:t>
      </w:r>
      <w:r>
        <w:rPr>
          <w:rFonts w:hint="eastAsia" w:asciiTheme="minorEastAsia" w:hAnsiTheme="minorEastAsia" w:eastAsiaTheme="minorEastAsia"/>
          <w:kern w:val="28"/>
        </w:rPr>
        <w:t>所报的</w:t>
      </w:r>
      <w:r>
        <w:rPr>
          <w:rFonts w:hint="eastAsia" w:asciiTheme="minorEastAsia" w:hAnsiTheme="minorEastAsia" w:eastAsiaTheme="minorEastAsia"/>
          <w:kern w:val="28"/>
          <w:lang w:eastAsia="zh-CN"/>
        </w:rPr>
        <w:t>报价</w:t>
      </w:r>
      <w:r>
        <w:rPr>
          <w:rFonts w:hint="eastAsia" w:asciiTheme="minorEastAsia" w:hAnsiTheme="minorEastAsia" w:eastAsiaTheme="minorEastAsia"/>
          <w:kern w:val="28"/>
        </w:rPr>
        <w:t>折扣（单位：%）=无赔款优待系数（NCD系数）×自主定价系数×100%，（注：</w:t>
      </w:r>
      <w:r>
        <w:rPr>
          <w:rFonts w:hint="eastAsia" w:asciiTheme="minorEastAsia" w:hAnsiTheme="minorEastAsia" w:eastAsiaTheme="minorEastAsia"/>
          <w:kern w:val="28"/>
          <w:lang w:eastAsia="zh-CN"/>
        </w:rPr>
        <w:t>报价</w:t>
      </w:r>
      <w:r>
        <w:rPr>
          <w:rFonts w:hint="eastAsia" w:asciiTheme="minorEastAsia" w:hAnsiTheme="minorEastAsia" w:eastAsiaTheme="minorEastAsia"/>
          <w:kern w:val="28"/>
        </w:rPr>
        <w:t>折扣须转换成百分比形式，例如：0.65转换为65%），</w:t>
      </w:r>
      <w:r>
        <w:rPr>
          <w:rFonts w:hint="eastAsia" w:asciiTheme="minorEastAsia" w:hAnsiTheme="minorEastAsia" w:eastAsiaTheme="minorEastAsia"/>
          <w:kern w:val="28"/>
          <w:lang w:eastAsia="zh-CN"/>
        </w:rPr>
        <w:t>报价</w:t>
      </w:r>
      <w:r>
        <w:rPr>
          <w:rFonts w:hint="eastAsia" w:asciiTheme="minorEastAsia" w:hAnsiTheme="minorEastAsia" w:eastAsiaTheme="minorEastAsia"/>
          <w:kern w:val="28"/>
        </w:rPr>
        <w:t>折扣必须为固定报价，不能为区间值（如：80%～90%等）。</w:t>
      </w:r>
    </w:p>
    <w:p>
      <w:pPr>
        <w:spacing w:line="360" w:lineRule="auto"/>
        <w:ind w:firstLine="420" w:firstLineChars="200"/>
        <w:rPr>
          <w:rFonts w:hint="eastAsia" w:asciiTheme="minorEastAsia" w:hAnsiTheme="minorEastAsia" w:eastAsiaTheme="minorEastAsia"/>
          <w:kern w:val="28"/>
        </w:rPr>
      </w:pPr>
      <w:r>
        <w:rPr>
          <w:rFonts w:hint="eastAsia" w:asciiTheme="minorEastAsia" w:hAnsiTheme="minorEastAsia" w:eastAsiaTheme="minorEastAsia"/>
          <w:kern w:val="28"/>
        </w:rPr>
        <w:t>3</w:t>
      </w:r>
      <w:r>
        <w:rPr>
          <w:rFonts w:hint="eastAsia" w:asciiTheme="minorEastAsia" w:hAnsiTheme="minorEastAsia" w:eastAsiaTheme="minorEastAsia"/>
          <w:kern w:val="28"/>
          <w:lang w:eastAsia="zh-CN"/>
        </w:rPr>
        <w:t>.</w:t>
      </w:r>
      <w:r>
        <w:rPr>
          <w:rFonts w:hint="eastAsia" w:asciiTheme="minorEastAsia" w:hAnsiTheme="minorEastAsia" w:eastAsiaTheme="minorEastAsia"/>
          <w:kern w:val="28"/>
        </w:rPr>
        <w:t>★自主定价系数需在中国银行保险监督管理委员会确定范围之内。</w:t>
      </w:r>
    </w:p>
    <w:p>
      <w:pPr>
        <w:spacing w:line="360" w:lineRule="auto"/>
        <w:ind w:firstLine="420" w:firstLineChars="200"/>
        <w:rPr>
          <w:rFonts w:asciiTheme="minorEastAsia" w:hAnsiTheme="minorEastAsia" w:eastAsiaTheme="minorEastAsia"/>
          <w:kern w:val="28"/>
        </w:rPr>
      </w:pPr>
      <w:r>
        <w:rPr>
          <w:rFonts w:hint="eastAsia" w:asciiTheme="minorEastAsia" w:hAnsiTheme="minorEastAsia" w:eastAsiaTheme="minorEastAsia"/>
          <w:kern w:val="28"/>
        </w:rPr>
        <w:t>4</w:t>
      </w:r>
      <w:r>
        <w:rPr>
          <w:rFonts w:hint="eastAsia" w:asciiTheme="minorEastAsia" w:hAnsiTheme="minorEastAsia" w:eastAsiaTheme="minorEastAsia"/>
          <w:kern w:val="28"/>
          <w:lang w:eastAsia="zh-CN"/>
        </w:rPr>
        <w:t>.报价</w:t>
      </w:r>
      <w:r>
        <w:rPr>
          <w:rFonts w:hint="eastAsia" w:asciiTheme="minorEastAsia" w:hAnsiTheme="minorEastAsia" w:eastAsiaTheme="minorEastAsia"/>
          <w:kern w:val="28"/>
        </w:rPr>
        <w:t>折扣是指</w:t>
      </w:r>
      <w:r>
        <w:rPr>
          <w:rFonts w:asciiTheme="minorEastAsia" w:hAnsiTheme="minorEastAsia" w:eastAsiaTheme="minorEastAsia"/>
          <w:kern w:val="28"/>
        </w:rPr>
        <w:t>按</w:t>
      </w:r>
      <w:r>
        <w:rPr>
          <w:rFonts w:hint="eastAsia" w:asciiTheme="minorEastAsia" w:hAnsiTheme="minorEastAsia" w:eastAsiaTheme="minorEastAsia"/>
          <w:kern w:val="28"/>
        </w:rPr>
        <w:t>基准保费的</w:t>
      </w:r>
      <w:r>
        <w:rPr>
          <w:rFonts w:asciiTheme="minorEastAsia" w:hAnsiTheme="minorEastAsia" w:eastAsiaTheme="minorEastAsia"/>
          <w:kern w:val="28"/>
        </w:rPr>
        <w:t>若干成计价</w:t>
      </w:r>
      <w:r>
        <w:rPr>
          <w:rFonts w:hint="eastAsia" w:asciiTheme="minorEastAsia" w:hAnsiTheme="minorEastAsia" w:eastAsiaTheme="minorEastAsia"/>
          <w:kern w:val="28"/>
        </w:rPr>
        <w:t>，如折扣80%，成交保费=基准保费*80%。</w:t>
      </w:r>
    </w:p>
    <w:p>
      <w:pPr>
        <w:spacing w:line="360" w:lineRule="auto"/>
        <w:rPr>
          <w:rFonts w:hint="eastAsia" w:asciiTheme="minorEastAsia" w:hAnsiTheme="minorEastAsia" w:eastAsiaTheme="minorEastAsia"/>
          <w:kern w:val="28"/>
        </w:rPr>
      </w:pPr>
    </w:p>
    <w:p>
      <w:pPr>
        <w:spacing w:line="360" w:lineRule="auto"/>
        <w:rPr>
          <w:rFonts w:hint="eastAsia" w:asciiTheme="minorEastAsia" w:hAnsiTheme="minorEastAsia" w:eastAsiaTheme="minorEastAsia"/>
          <w:kern w:val="28"/>
          <w:lang w:eastAsia="zh-CN"/>
        </w:rPr>
      </w:pPr>
      <w:r>
        <w:rPr>
          <w:rFonts w:hint="eastAsia" w:asciiTheme="minorEastAsia" w:hAnsiTheme="minorEastAsia" w:eastAsiaTheme="minorEastAsia"/>
          <w:kern w:val="28"/>
          <w:lang w:val="en-US" w:eastAsia="zh-CN"/>
        </w:rPr>
        <w:t>报价人</w:t>
      </w:r>
      <w:r>
        <w:rPr>
          <w:rFonts w:hint="eastAsia" w:asciiTheme="minorEastAsia" w:hAnsiTheme="minorEastAsia" w:eastAsiaTheme="minorEastAsia"/>
          <w:kern w:val="28"/>
        </w:rPr>
        <w:t>（</w:t>
      </w:r>
      <w:r>
        <w:rPr>
          <w:rFonts w:hint="eastAsia" w:asciiTheme="minorEastAsia" w:hAnsiTheme="minorEastAsia" w:eastAsiaTheme="minorEastAsia"/>
          <w:kern w:val="28"/>
          <w:lang w:val="en-US" w:eastAsia="zh-CN"/>
        </w:rPr>
        <w:t>盖</w:t>
      </w:r>
      <w:r>
        <w:rPr>
          <w:rFonts w:hint="eastAsia" w:asciiTheme="minorEastAsia" w:hAnsiTheme="minorEastAsia" w:eastAsiaTheme="minorEastAsia"/>
          <w:kern w:val="28"/>
        </w:rPr>
        <w:t>公章）</w:t>
      </w:r>
      <w:r>
        <w:rPr>
          <w:rFonts w:hint="eastAsia" w:asciiTheme="minorEastAsia" w:hAnsiTheme="minorEastAsia" w:eastAsiaTheme="minorEastAsia"/>
          <w:kern w:val="28"/>
          <w:lang w:eastAsia="zh-CN"/>
        </w:rPr>
        <w:t>：</w:t>
      </w:r>
    </w:p>
    <w:p>
      <w:pPr>
        <w:spacing w:line="360" w:lineRule="auto"/>
        <w:rPr>
          <w:rFonts w:asciiTheme="minorEastAsia" w:hAnsiTheme="minorEastAsia" w:eastAsiaTheme="minorEastAsia"/>
          <w:kern w:val="28"/>
        </w:rPr>
      </w:pPr>
      <w:r>
        <w:rPr>
          <w:rFonts w:hint="eastAsia" w:ascii="宋体" w:hAnsi="宋体"/>
        </w:rPr>
        <w:t>法定代表人或</w:t>
      </w:r>
      <w:r>
        <w:rPr>
          <w:rFonts w:hint="eastAsia" w:ascii="宋体" w:hAnsi="宋体"/>
          <w:lang w:eastAsia="zh-CN"/>
        </w:rPr>
        <w:t>报价人</w:t>
      </w:r>
      <w:r>
        <w:rPr>
          <w:rFonts w:hint="eastAsia" w:ascii="宋体" w:hAnsi="宋体"/>
        </w:rPr>
        <w:t>授权代表（签名或盖章）</w:t>
      </w:r>
      <w:r>
        <w:rPr>
          <w:rFonts w:hint="eastAsia" w:asciiTheme="minorEastAsia" w:hAnsiTheme="minorEastAsia" w:eastAsiaTheme="minorEastAsia"/>
          <w:kern w:val="28"/>
        </w:rPr>
        <w:t>：</w:t>
      </w:r>
    </w:p>
    <w:p>
      <w:pPr>
        <w:spacing w:line="360" w:lineRule="auto"/>
        <w:rPr>
          <w:rFonts w:ascii="仿宋" w:hAnsi="仿宋" w:eastAsia="仿宋" w:cs="仿宋"/>
          <w:spacing w:val="-20"/>
          <w:sz w:val="28"/>
          <w:szCs w:val="28"/>
        </w:rPr>
      </w:pPr>
      <w:r>
        <w:rPr>
          <w:rFonts w:hint="eastAsia" w:asciiTheme="minorEastAsia" w:hAnsiTheme="minorEastAsia" w:eastAsiaTheme="minorEastAsia"/>
          <w:kern w:val="28"/>
        </w:rPr>
        <w:t>日    期：</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附件2.2023-2024年度粤传媒及下属分子公司（广报经营销售分公司除外）车辆情况表（另附文档）</w:t>
      </w: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附件3.2023-2024年度广州日报报业经营有限公司销售分公司车辆情况表（另附文档）</w:t>
      </w: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600" w:lineRule="exact"/>
        <w:rPr>
          <w:rFonts w:hint="eastAsia" w:ascii="宋体" w:hAnsi="宋体"/>
          <w:b/>
          <w:sz w:val="28"/>
          <w:szCs w:val="28"/>
        </w:rPr>
      </w:pPr>
    </w:p>
    <w:p>
      <w:pPr>
        <w:spacing w:line="360" w:lineRule="auto"/>
        <w:rPr>
          <w:rFonts w:hint="eastAsia" w:ascii="宋体" w:hAnsi="宋体" w:eastAsia="宋体" w:cs="宋体"/>
          <w:sz w:val="28"/>
          <w:szCs w:val="28"/>
          <w:lang w:val="en-US" w:eastAsia="zh-CN"/>
        </w:rPr>
      </w:pPr>
    </w:p>
    <w:p>
      <w:p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附件4.</w:t>
      </w:r>
    </w:p>
    <w:p>
      <w:pPr>
        <w:spacing w:line="600" w:lineRule="exact"/>
        <w:jc w:val="center"/>
        <w:rPr>
          <w:rFonts w:ascii="宋体" w:hAnsi="宋体"/>
          <w:sz w:val="30"/>
          <w:szCs w:val="30"/>
        </w:rPr>
      </w:pPr>
      <w:r>
        <w:rPr>
          <w:rFonts w:hint="eastAsia" w:ascii="宋体" w:hAnsi="宋体"/>
          <w:sz w:val="30"/>
          <w:szCs w:val="30"/>
        </w:rPr>
        <w:t>广州日报报业经营有限公司销售分公司</w:t>
      </w:r>
    </w:p>
    <w:p>
      <w:pPr>
        <w:spacing w:line="600" w:lineRule="exact"/>
        <w:jc w:val="center"/>
        <w:rPr>
          <w:rFonts w:ascii="宋体" w:hAnsi="宋体"/>
          <w:sz w:val="30"/>
          <w:szCs w:val="30"/>
        </w:rPr>
      </w:pPr>
      <w:r>
        <w:rPr>
          <w:rFonts w:hint="eastAsia" w:ascii="宋体" w:hAnsi="宋体"/>
          <w:bCs/>
          <w:sz w:val="30"/>
          <w:szCs w:val="30"/>
        </w:rPr>
        <w:t>年度汽车保险保障条款</w:t>
      </w:r>
    </w:p>
    <w:p>
      <w:pPr>
        <w:spacing w:line="600" w:lineRule="exact"/>
        <w:rPr>
          <w:rFonts w:ascii="宋体" w:hAnsi="宋体"/>
          <w:szCs w:val="21"/>
        </w:rPr>
      </w:pPr>
      <w:r>
        <w:rPr>
          <w:rFonts w:hint="eastAsia" w:ascii="宋体" w:hAnsi="宋体"/>
          <w:szCs w:val="21"/>
        </w:rPr>
        <w:t>1、发生事故，如无交警证明，但涉及受害人致伤在5000元或以下的案件，在贵司（指</w:t>
      </w:r>
      <w:r>
        <w:rPr>
          <w:rFonts w:hint="eastAsia" w:ascii="宋体" w:hAnsi="宋体" w:eastAsia="宋体"/>
          <w:szCs w:val="21"/>
          <w:lang w:eastAsia="zh-CN"/>
        </w:rPr>
        <w:t>中选</w:t>
      </w:r>
      <w:r>
        <w:rPr>
          <w:rFonts w:hint="eastAsia" w:ascii="宋体" w:hAnsi="宋体"/>
          <w:szCs w:val="21"/>
        </w:rPr>
        <w:t>，下同）确认已报案的前提下，我方可先行赔付给受害人，然后凭受害人的收据、我方单位证明及受害人身份证复印件、联系电话来贵司补办索赔手续。特殊情况，以我方单位证明为依据。上述简化理赔手续的举措亦适用于仅投保第三者责任险的投保人。(先行赔付)</w:t>
      </w:r>
    </w:p>
    <w:p>
      <w:pPr>
        <w:spacing w:line="600" w:lineRule="exact"/>
        <w:rPr>
          <w:rFonts w:ascii="宋体" w:hAnsi="宋体"/>
          <w:szCs w:val="21"/>
        </w:rPr>
      </w:pPr>
      <w:r>
        <w:rPr>
          <w:rFonts w:hint="eastAsia" w:ascii="宋体" w:hAnsi="宋体"/>
          <w:szCs w:val="21"/>
        </w:rPr>
        <w:t>2、发生第三者交通事故，经交警部门认定，我方不是主要责任方，但主要责任方逃匿的，受害人的住院医疗费用由贵司承担，但全过程会知会贵司有关业务经办、理赔人员，同时出具有关医院凭证及我方有关证明文件。(第三者交通事故医疗费用承担)</w:t>
      </w:r>
    </w:p>
    <w:p>
      <w:pPr>
        <w:spacing w:line="600" w:lineRule="exact"/>
        <w:rPr>
          <w:rFonts w:ascii="宋体" w:hAnsi="宋体"/>
          <w:szCs w:val="21"/>
        </w:rPr>
      </w:pPr>
      <w:r>
        <w:rPr>
          <w:rFonts w:hint="eastAsia" w:ascii="宋体" w:hAnsi="宋体"/>
          <w:szCs w:val="21"/>
        </w:rPr>
        <w:t>3、被保险车辆出险后，对于属保险责任范围内的事故，但我方无责任，应由第三方赔偿时，贵司同意先予以赔偿，再由我方授权贵司行使代位追偿的权利，由贵司向第三方进行追偿。(代位追偿)</w:t>
      </w:r>
    </w:p>
    <w:p>
      <w:pPr>
        <w:spacing w:line="600" w:lineRule="exact"/>
        <w:rPr>
          <w:rFonts w:ascii="宋体" w:hAnsi="宋体"/>
          <w:szCs w:val="21"/>
        </w:rPr>
      </w:pPr>
      <w:r>
        <w:rPr>
          <w:rFonts w:hint="eastAsia" w:ascii="宋体" w:hAnsi="宋体"/>
          <w:szCs w:val="21"/>
        </w:rPr>
        <w:t>4、发生第三者交通事故，涉及有人员受伤时，贵司除办理交强险启动程序外，贵司承诺预付不超过3万元的治疗费用，待事故处理完毕后，在保险理赔额度中减除预付款项。（预付治疗费用）</w:t>
      </w:r>
    </w:p>
    <w:p>
      <w:pPr>
        <w:spacing w:line="600" w:lineRule="exact"/>
        <w:rPr>
          <w:rFonts w:ascii="宋体" w:hAnsi="宋体"/>
          <w:szCs w:val="21"/>
        </w:rPr>
      </w:pPr>
      <w:r>
        <w:rPr>
          <w:rFonts w:hint="eastAsia" w:ascii="宋体" w:hAnsi="宋体"/>
          <w:szCs w:val="21"/>
        </w:rPr>
        <w:t>5、当发生重大保险责任事故（赔付金额在20万元以上）时，我方可凭事故责任认定书、县级以上医院出示的诊断书及医疗收据向贵司申请预付赔款，贵司将在双方确定的损失金额的80%范围内预付赔款。(重大案件预付赔款)</w:t>
      </w:r>
    </w:p>
    <w:p>
      <w:pPr>
        <w:spacing w:line="600" w:lineRule="exact"/>
        <w:rPr>
          <w:rFonts w:ascii="宋体" w:hAnsi="宋体"/>
          <w:szCs w:val="21"/>
        </w:rPr>
      </w:pPr>
      <w:r>
        <w:rPr>
          <w:rFonts w:hint="eastAsia" w:ascii="宋体" w:hAnsi="宋体"/>
          <w:szCs w:val="21"/>
        </w:rPr>
        <w:t>6、车上人员责任保险：</w:t>
      </w:r>
    </w:p>
    <w:p>
      <w:pPr>
        <w:spacing w:line="600" w:lineRule="exact"/>
        <w:rPr>
          <w:rFonts w:ascii="宋体" w:hAnsi="宋体"/>
          <w:szCs w:val="21"/>
        </w:rPr>
      </w:pPr>
      <w:r>
        <w:rPr>
          <w:rFonts w:hint="eastAsia" w:ascii="宋体" w:hAnsi="宋体"/>
          <w:szCs w:val="21"/>
        </w:rPr>
        <w:t>根据我方每辆投保车辆的座位选择一位投保10万元保险金额，其余座位投保1万元，如我方投保的车辆因保险责任事故导致车上人员伤亡，则每一次事故的受伤人员，其医疗费的赔付在责任认定后，贵司按责计赔，并相应免除免赔率，其中一人（司机或乘客）可最高赔付10万元，如多名人员受伤，最高赔付金额不超过本车车上人员责任险总投保金额。(司乘险互动)</w:t>
      </w:r>
    </w:p>
    <w:p>
      <w:pPr>
        <w:spacing w:line="600" w:lineRule="exact"/>
        <w:rPr>
          <w:rFonts w:ascii="宋体" w:hAnsi="宋体"/>
          <w:szCs w:val="21"/>
        </w:rPr>
      </w:pPr>
      <w:r>
        <w:rPr>
          <w:rFonts w:hint="eastAsia" w:ascii="宋体" w:hAnsi="宋体"/>
          <w:szCs w:val="21"/>
        </w:rPr>
        <w:t>7、如我方车辆发生轻微事故时，保险公司应在事故现场给我方车辆进行定损评估，如车辆损坏较严重，不能现场定损时，则保险公司安排定损员到我方车辆维修厂对事故车辆进行定损。(定损安排)</w:t>
      </w:r>
    </w:p>
    <w:p>
      <w:pPr>
        <w:spacing w:line="600" w:lineRule="exact"/>
        <w:ind w:left="2"/>
        <w:rPr>
          <w:rFonts w:ascii="宋体" w:hAnsi="宋体"/>
          <w:szCs w:val="21"/>
        </w:rPr>
      </w:pPr>
      <w:r>
        <w:rPr>
          <w:rFonts w:hint="eastAsia" w:ascii="宋体" w:hAnsi="宋体"/>
          <w:szCs w:val="21"/>
        </w:rPr>
        <w:t>8、凡发生交通事故，贵司必须预付交通事故押金。(预付交通事故押金)</w:t>
      </w:r>
    </w:p>
    <w:p>
      <w:pPr>
        <w:spacing w:line="600" w:lineRule="exact"/>
        <w:rPr>
          <w:rFonts w:ascii="宋体" w:hAnsi="宋体"/>
          <w:szCs w:val="21"/>
        </w:rPr>
      </w:pPr>
      <w:r>
        <w:rPr>
          <w:rFonts w:hint="eastAsia" w:ascii="宋体" w:hAnsi="宋体"/>
          <w:szCs w:val="21"/>
        </w:rPr>
        <w:t>9、在交通事故发生后，如我方已垫支医疗或其它费用，但该事故由于经过法院判决，由贵司直接赔付给受害人时，贵司必须首先将我方已垫支的费用赔付给我方后，再将余额支付给受害人。(支付我方垫付费用)</w:t>
      </w:r>
    </w:p>
    <w:p>
      <w:pPr>
        <w:spacing w:line="600" w:lineRule="exact"/>
        <w:rPr>
          <w:rFonts w:ascii="宋体" w:hAnsi="宋体"/>
          <w:szCs w:val="21"/>
        </w:rPr>
      </w:pPr>
      <w:r>
        <w:rPr>
          <w:rFonts w:hint="eastAsia" w:ascii="宋体" w:hAnsi="宋体"/>
          <w:szCs w:val="21"/>
        </w:rPr>
        <w:t>10、因特殊情况，事故在两年的理赔有效期内都未能结案时，贵司需要为我方办理该宗事故的理赔有效期延期手续，并应将该宗事故的理赔有效期延长至事故处理完毕时。(延期结案有效年限)</w:t>
      </w:r>
    </w:p>
    <w:p>
      <w:pPr>
        <w:spacing w:line="600" w:lineRule="exact"/>
        <w:rPr>
          <w:rFonts w:ascii="宋体" w:hAnsi="宋体"/>
          <w:szCs w:val="21"/>
        </w:rPr>
      </w:pPr>
    </w:p>
    <w:p>
      <w:pPr>
        <w:spacing w:line="600" w:lineRule="exact"/>
        <w:rPr>
          <w:rFonts w:ascii="宋体" w:hAnsi="宋体"/>
          <w:szCs w:val="21"/>
        </w:rPr>
      </w:pPr>
    </w:p>
    <w:p>
      <w:pPr>
        <w:spacing w:line="600" w:lineRule="exact"/>
        <w:jc w:val="right"/>
        <w:rPr>
          <w:rFonts w:ascii="宋体" w:hAnsi="宋体"/>
          <w:szCs w:val="21"/>
        </w:rPr>
      </w:pPr>
      <w:r>
        <w:rPr>
          <w:rFonts w:hint="eastAsia" w:ascii="宋体" w:hAnsi="宋体"/>
          <w:szCs w:val="21"/>
        </w:rPr>
        <w:t>解释联系人：潘明杰</w:t>
      </w:r>
      <w:r>
        <w:rPr>
          <w:rFonts w:ascii="宋体" w:hAnsi="宋体"/>
          <w:szCs w:val="21"/>
        </w:rPr>
        <w:t>13632268163</w:t>
      </w:r>
    </w:p>
    <w:p>
      <w:pPr>
        <w:spacing w:line="600" w:lineRule="exact"/>
        <w:jc w:val="right"/>
        <w:rPr>
          <w:rFonts w:ascii="宋体" w:hAnsi="宋体"/>
          <w:szCs w:val="21"/>
        </w:rPr>
      </w:pPr>
      <w:r>
        <w:rPr>
          <w:rFonts w:hint="eastAsia" w:ascii="宋体" w:hAnsi="宋体"/>
          <w:szCs w:val="21"/>
        </w:rPr>
        <w:t>广州日报报业经营有限公司销售分公司</w:t>
      </w:r>
    </w:p>
    <w:p>
      <w:pPr>
        <w:spacing w:before="179" w:line="219" w:lineRule="auto"/>
        <w:ind w:left="0"/>
        <w:rPr>
          <w:rFonts w:ascii="仿宋" w:hAnsi="仿宋" w:eastAsia="仿宋" w:cs="仿宋"/>
          <w:spacing w:val="-20"/>
          <w:sz w:val="28"/>
          <w:szCs w:val="28"/>
        </w:rPr>
      </w:pPr>
    </w:p>
    <w:p>
      <w:pPr>
        <w:spacing w:before="179" w:line="219" w:lineRule="auto"/>
        <w:ind w:left="0"/>
        <w:rPr>
          <w:rFonts w:ascii="仿宋" w:hAnsi="仿宋" w:eastAsia="仿宋" w:cs="仿宋"/>
          <w:spacing w:val="-20"/>
          <w:sz w:val="28"/>
          <w:szCs w:val="28"/>
        </w:rPr>
      </w:pPr>
    </w:p>
    <w:p>
      <w:pPr>
        <w:spacing w:before="179" w:line="219" w:lineRule="auto"/>
        <w:ind w:left="0"/>
        <w:rPr>
          <w:rFonts w:ascii="仿宋" w:hAnsi="仿宋" w:eastAsia="仿宋" w:cs="仿宋"/>
          <w:spacing w:val="-20"/>
          <w:sz w:val="28"/>
          <w:szCs w:val="28"/>
        </w:rPr>
      </w:pPr>
    </w:p>
    <w:p>
      <w:pPr>
        <w:spacing w:before="179" w:line="219" w:lineRule="auto"/>
        <w:ind w:left="0"/>
        <w:rPr>
          <w:rFonts w:ascii="仿宋" w:hAnsi="仿宋" w:eastAsia="仿宋" w:cs="仿宋"/>
          <w:spacing w:val="-20"/>
          <w:sz w:val="28"/>
          <w:szCs w:val="28"/>
        </w:rPr>
      </w:pPr>
    </w:p>
    <w:p>
      <w:pPr>
        <w:spacing w:before="179" w:line="219" w:lineRule="auto"/>
        <w:ind w:left="0"/>
        <w:rPr>
          <w:rFonts w:ascii="仿宋" w:hAnsi="仿宋" w:eastAsia="仿宋" w:cs="仿宋"/>
          <w:spacing w:val="-20"/>
          <w:sz w:val="28"/>
          <w:szCs w:val="28"/>
        </w:rPr>
      </w:pPr>
    </w:p>
    <w:p>
      <w:pPr>
        <w:spacing w:before="179" w:line="219" w:lineRule="auto"/>
        <w:ind w:left="0"/>
        <w:rPr>
          <w:rFonts w:ascii="仿宋" w:hAnsi="仿宋" w:eastAsia="仿宋" w:cs="仿宋"/>
          <w:spacing w:val="-20"/>
          <w:sz w:val="28"/>
          <w:szCs w:val="28"/>
        </w:rPr>
      </w:pPr>
    </w:p>
    <w:p>
      <w:pPr>
        <w:spacing w:before="179" w:line="219" w:lineRule="auto"/>
        <w:ind w:left="0"/>
        <w:rPr>
          <w:rFonts w:ascii="仿宋" w:hAnsi="仿宋" w:eastAsia="仿宋" w:cs="仿宋"/>
          <w:spacing w:val="-20"/>
          <w:sz w:val="28"/>
          <w:szCs w:val="28"/>
        </w:rPr>
      </w:pPr>
    </w:p>
    <w:p>
      <w:pPr>
        <w:spacing w:before="179" w:line="219" w:lineRule="auto"/>
        <w:ind w:left="0"/>
        <w:rPr>
          <w:rFonts w:ascii="仿宋" w:hAnsi="仿宋" w:eastAsia="仿宋" w:cs="仿宋"/>
          <w:spacing w:val="-20"/>
          <w:sz w:val="28"/>
          <w:szCs w:val="28"/>
        </w:rPr>
      </w:pPr>
    </w:p>
    <w:p>
      <w:pPr>
        <w:spacing w:line="360" w:lineRule="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附件</w:t>
      </w: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zh-CN"/>
        </w:rPr>
        <w:t>.</w:t>
      </w:r>
    </w:p>
    <w:p>
      <w:pPr>
        <w:spacing w:line="289" w:lineRule="auto"/>
        <w:rPr>
          <w:rFonts w:ascii="Arial"/>
          <w:sz w:val="21"/>
        </w:rPr>
      </w:pPr>
    </w:p>
    <w:p>
      <w:pPr>
        <w:spacing w:before="101" w:line="224" w:lineRule="auto"/>
        <w:ind w:left="3180"/>
        <w:rPr>
          <w:rFonts w:ascii="宋体" w:hAnsi="宋体" w:eastAsia="宋体" w:cs="宋体"/>
          <w:sz w:val="31"/>
          <w:szCs w:val="31"/>
        </w:rPr>
      </w:pPr>
      <w:r>
        <w:rPr>
          <w:rFonts w:ascii="宋体" w:hAnsi="宋体" w:eastAsia="宋体" w:cs="宋体"/>
          <w:spacing w:val="10"/>
          <w:sz w:val="31"/>
          <w:szCs w:val="31"/>
          <w14:textOutline w14:w="5791" w14:cap="flat" w14:cmpd="sng">
            <w14:solidFill>
              <w14:srgbClr w14:val="000000"/>
            </w14:solidFill>
            <w14:prstDash w14:val="solid"/>
            <w14:miter w14:val="0"/>
          </w14:textOutline>
        </w:rPr>
        <w:t>法</w:t>
      </w:r>
      <w:r>
        <w:rPr>
          <w:rFonts w:ascii="宋体" w:hAnsi="宋体" w:eastAsia="宋体" w:cs="宋体"/>
          <w:spacing w:val="9"/>
          <w:sz w:val="31"/>
          <w:szCs w:val="31"/>
          <w14:textOutline w14:w="5791" w14:cap="flat" w14:cmpd="sng">
            <w14:solidFill>
              <w14:srgbClr w14:val="000000"/>
            </w14:solidFill>
            <w14:prstDash w14:val="solid"/>
            <w14:miter w14:val="0"/>
          </w14:textOutline>
        </w:rPr>
        <w:t>定代表人证明书</w:t>
      </w:r>
    </w:p>
    <w:p>
      <w:pPr>
        <w:spacing w:line="353" w:lineRule="auto"/>
        <w:rPr>
          <w:rFonts w:ascii="Arial"/>
          <w:sz w:val="21"/>
        </w:rPr>
      </w:pPr>
    </w:p>
    <w:p>
      <w:pPr>
        <w:spacing w:before="69" w:line="214" w:lineRule="auto"/>
        <w:ind w:left="1243"/>
        <w:rPr>
          <w:rFonts w:ascii="宋体" w:hAnsi="宋体" w:eastAsia="宋体" w:cs="宋体"/>
          <w:sz w:val="21"/>
          <w:szCs w:val="21"/>
        </w:rPr>
      </w:pPr>
      <w:r>
        <w:rPr>
          <w:rFonts w:ascii="宋体" w:hAnsi="宋体" w:eastAsia="宋体" w:cs="宋体"/>
          <w:spacing w:val="-10"/>
          <w:sz w:val="21"/>
          <w:szCs w:val="21"/>
        </w:rPr>
        <w:t>_</w:t>
      </w:r>
      <w:r>
        <w:rPr>
          <w:rFonts w:ascii="宋体" w:hAnsi="宋体" w:eastAsia="宋体" w:cs="宋体"/>
          <w:spacing w:val="-8"/>
          <w:sz w:val="21"/>
          <w:szCs w:val="21"/>
        </w:rPr>
        <w:t>_</w:t>
      </w:r>
      <w:r>
        <w:rPr>
          <w:rFonts w:ascii="宋体" w:hAnsi="宋体" w:eastAsia="宋体" w:cs="宋体"/>
          <w:spacing w:val="-5"/>
          <w:sz w:val="21"/>
          <w:szCs w:val="21"/>
        </w:rPr>
        <w:t>____________同志，现任我单位职务， 为法定代表人， 特此证明。</w:t>
      </w:r>
    </w:p>
    <w:p>
      <w:pPr>
        <w:spacing w:line="310" w:lineRule="auto"/>
        <w:rPr>
          <w:rFonts w:ascii="Arial"/>
          <w:sz w:val="21"/>
        </w:rPr>
      </w:pPr>
    </w:p>
    <w:p>
      <w:pPr>
        <w:spacing w:before="68" w:line="219" w:lineRule="auto"/>
        <w:ind w:left="726"/>
        <w:rPr>
          <w:rFonts w:ascii="宋体" w:hAnsi="宋体" w:eastAsia="宋体" w:cs="宋体"/>
          <w:spacing w:val="-3"/>
          <w:sz w:val="21"/>
          <w:szCs w:val="21"/>
        </w:rPr>
      </w:pPr>
      <w:r>
        <w:rPr>
          <w:rFonts w:ascii="宋体" w:hAnsi="宋体" w:eastAsia="宋体" w:cs="宋体"/>
          <w:spacing w:val="-6"/>
          <w:sz w:val="21"/>
          <w:szCs w:val="21"/>
        </w:rPr>
        <w:t>有效日期与本公司</w:t>
      </w:r>
      <w:r>
        <w:rPr>
          <w:rFonts w:ascii="宋体" w:hAnsi="宋体" w:eastAsia="宋体" w:cs="宋体"/>
          <w:spacing w:val="-5"/>
          <w:sz w:val="21"/>
          <w:szCs w:val="21"/>
        </w:rPr>
        <w:t>报</w:t>
      </w:r>
      <w:r>
        <w:rPr>
          <w:rFonts w:ascii="宋体" w:hAnsi="宋体" w:eastAsia="宋体" w:cs="宋体"/>
          <w:spacing w:val="-3"/>
          <w:sz w:val="21"/>
          <w:szCs w:val="21"/>
        </w:rPr>
        <w:t>价文件中标注的报价有效期相同。</w:t>
      </w:r>
    </w:p>
    <w:p>
      <w:pPr>
        <w:spacing w:before="68" w:line="219" w:lineRule="auto"/>
        <w:ind w:left="726"/>
        <w:rPr>
          <w:rFonts w:ascii="宋体" w:hAnsi="宋体" w:eastAsia="宋体" w:cs="宋体"/>
          <w:sz w:val="21"/>
          <w:szCs w:val="21"/>
        </w:rPr>
      </w:pPr>
      <w:r>
        <w:rPr>
          <w:rFonts w:ascii="宋体" w:hAnsi="宋体" w:eastAsia="宋体" w:cs="宋体"/>
          <w:spacing w:val="-3"/>
          <w:sz w:val="21"/>
          <w:szCs w:val="21"/>
        </w:rPr>
        <w:t>签发日期：     年    月    日</w:t>
      </w:r>
    </w:p>
    <w:p>
      <w:pPr>
        <w:spacing w:line="304" w:lineRule="auto"/>
        <w:rPr>
          <w:rFonts w:ascii="Arial"/>
          <w:sz w:val="21"/>
        </w:rPr>
      </w:pPr>
    </w:p>
    <w:p>
      <w:pPr>
        <w:spacing w:before="68" w:line="220" w:lineRule="auto"/>
        <w:ind w:left="742"/>
        <w:rPr>
          <w:rFonts w:ascii="宋体" w:hAnsi="宋体" w:eastAsia="宋体" w:cs="宋体"/>
          <w:sz w:val="21"/>
          <w:szCs w:val="21"/>
        </w:rPr>
      </w:pPr>
      <w:r>
        <w:rPr>
          <w:rFonts w:ascii="宋体" w:hAnsi="宋体" w:eastAsia="宋体" w:cs="宋体"/>
          <w:spacing w:val="-18"/>
          <w:sz w:val="21"/>
          <w:szCs w:val="21"/>
        </w:rPr>
        <w:t>附：</w:t>
      </w:r>
    </w:p>
    <w:p>
      <w:pPr>
        <w:spacing w:line="303" w:lineRule="auto"/>
        <w:rPr>
          <w:rFonts w:ascii="Arial"/>
          <w:sz w:val="21"/>
        </w:rPr>
      </w:pPr>
    </w:p>
    <w:p>
      <w:pPr>
        <w:spacing w:before="69" w:line="625" w:lineRule="exact"/>
        <w:ind w:left="1152"/>
        <w:rPr>
          <w:rFonts w:ascii="宋体" w:hAnsi="宋体" w:eastAsia="宋体" w:cs="宋体"/>
          <w:sz w:val="21"/>
          <w:szCs w:val="21"/>
        </w:rPr>
      </w:pPr>
      <w:r>
        <w:rPr>
          <w:rFonts w:ascii="宋体" w:hAnsi="宋体" w:eastAsia="宋体" w:cs="宋体"/>
          <w:spacing w:val="8"/>
          <w:position w:val="32"/>
          <w:sz w:val="21"/>
          <w:szCs w:val="21"/>
        </w:rPr>
        <w:t>营业执照(注册号)</w:t>
      </w:r>
      <w:r>
        <w:rPr>
          <w:rFonts w:ascii="宋体" w:hAnsi="宋体" w:eastAsia="宋体" w:cs="宋体"/>
          <w:spacing w:val="7"/>
          <w:position w:val="32"/>
          <w:sz w:val="21"/>
          <w:szCs w:val="21"/>
        </w:rPr>
        <w:t>：</w:t>
      </w:r>
    </w:p>
    <w:p>
      <w:pPr>
        <w:spacing w:line="221" w:lineRule="auto"/>
        <w:ind w:left="1147"/>
        <w:rPr>
          <w:rFonts w:ascii="宋体" w:hAnsi="宋体" w:eastAsia="宋体" w:cs="宋体"/>
          <w:sz w:val="21"/>
          <w:szCs w:val="21"/>
        </w:rPr>
      </w:pPr>
      <w:r>
        <w:rPr>
          <w:rFonts w:ascii="宋体" w:hAnsi="宋体" w:eastAsia="宋体" w:cs="宋体"/>
          <w:spacing w:val="-7"/>
          <w:sz w:val="21"/>
          <w:szCs w:val="21"/>
        </w:rPr>
        <w:t>经</w:t>
      </w:r>
      <w:r>
        <w:rPr>
          <w:rFonts w:ascii="宋体" w:hAnsi="宋体" w:eastAsia="宋体" w:cs="宋体"/>
          <w:spacing w:val="-6"/>
          <w:sz w:val="21"/>
          <w:szCs w:val="21"/>
        </w:rPr>
        <w:t>济性质：</w:t>
      </w:r>
    </w:p>
    <w:p>
      <w:pPr>
        <w:spacing w:line="302" w:lineRule="auto"/>
        <w:rPr>
          <w:rFonts w:ascii="Arial"/>
          <w:sz w:val="21"/>
        </w:rPr>
      </w:pPr>
    </w:p>
    <w:p>
      <w:pPr>
        <w:spacing w:before="69" w:line="624" w:lineRule="exact"/>
        <w:ind w:left="1147"/>
        <w:rPr>
          <w:rFonts w:ascii="宋体" w:hAnsi="宋体" w:eastAsia="宋体" w:cs="宋体"/>
          <w:sz w:val="21"/>
          <w:szCs w:val="21"/>
        </w:rPr>
      </w:pPr>
      <w:r>
        <w:rPr>
          <w:rFonts w:ascii="宋体" w:hAnsi="宋体" w:eastAsia="宋体" w:cs="宋体"/>
          <w:spacing w:val="14"/>
          <w:position w:val="32"/>
          <w:sz w:val="21"/>
          <w:szCs w:val="21"/>
        </w:rPr>
        <w:t>主营(产)：</w:t>
      </w:r>
    </w:p>
    <w:p>
      <w:pPr>
        <w:spacing w:line="220" w:lineRule="auto"/>
        <w:ind w:left="1149"/>
        <w:rPr>
          <w:rFonts w:ascii="宋体" w:hAnsi="宋体" w:eastAsia="宋体" w:cs="宋体"/>
          <w:sz w:val="21"/>
          <w:szCs w:val="21"/>
        </w:rPr>
      </w:pPr>
      <w:r>
        <w:rPr>
          <w:rFonts w:ascii="宋体" w:hAnsi="宋体" w:eastAsia="宋体" w:cs="宋体"/>
          <w:spacing w:val="17"/>
          <w:sz w:val="21"/>
          <w:szCs w:val="21"/>
        </w:rPr>
        <w:t>兼</w:t>
      </w:r>
      <w:r>
        <w:rPr>
          <w:rFonts w:ascii="宋体" w:hAnsi="宋体" w:eastAsia="宋体" w:cs="宋体"/>
          <w:spacing w:val="13"/>
          <w:sz w:val="21"/>
          <w:szCs w:val="21"/>
        </w:rPr>
        <w:t>营(产)：</w:t>
      </w:r>
    </w:p>
    <w:p>
      <w:pPr>
        <w:spacing w:line="207" w:lineRule="exact"/>
      </w:pPr>
    </w:p>
    <w:tbl>
      <w:tblPr>
        <w:tblStyle w:val="7"/>
        <w:tblW w:w="9090" w:type="dxa"/>
        <w:tblInd w:w="12" w:type="dxa"/>
        <w:tblBorders>
          <w:top w:val="single" w:color="739CC3" w:sz="10" w:space="0"/>
          <w:left w:val="single" w:color="739CC3" w:sz="10" w:space="0"/>
          <w:bottom w:val="single" w:color="739CC3" w:sz="10" w:space="0"/>
          <w:right w:val="single" w:color="739CC3" w:sz="10" w:space="0"/>
          <w:insideH w:val="none" w:color="auto" w:sz="0" w:space="0"/>
          <w:insideV w:val="none" w:color="auto" w:sz="0" w:space="0"/>
        </w:tblBorders>
        <w:tblLayout w:type="fixed"/>
        <w:tblCellMar>
          <w:top w:w="0" w:type="dxa"/>
          <w:left w:w="0" w:type="dxa"/>
          <w:bottom w:w="0" w:type="dxa"/>
          <w:right w:w="0" w:type="dxa"/>
        </w:tblCellMar>
      </w:tblPr>
      <w:tblGrid>
        <w:gridCol w:w="9090"/>
      </w:tblGrid>
      <w:tr>
        <w:tblPrEx>
          <w:tblBorders>
            <w:top w:val="single" w:color="739CC3" w:sz="10" w:space="0"/>
            <w:left w:val="single" w:color="739CC3" w:sz="10" w:space="0"/>
            <w:bottom w:val="single" w:color="739CC3" w:sz="10" w:space="0"/>
            <w:right w:val="single" w:color="739CC3" w:sz="10" w:space="0"/>
            <w:insideH w:val="none" w:color="auto" w:sz="0" w:space="0"/>
            <w:insideV w:val="none" w:color="auto" w:sz="0" w:space="0"/>
          </w:tblBorders>
          <w:tblCellMar>
            <w:top w:w="0" w:type="dxa"/>
            <w:left w:w="0" w:type="dxa"/>
            <w:bottom w:w="0" w:type="dxa"/>
            <w:right w:w="0" w:type="dxa"/>
          </w:tblCellMar>
        </w:tblPrEx>
        <w:trPr>
          <w:trHeight w:val="3368" w:hRule="atLeast"/>
        </w:trPr>
        <w:tc>
          <w:tcPr>
            <w:tcW w:w="9090"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69" w:line="221" w:lineRule="auto"/>
              <w:ind w:left="2862"/>
              <w:rPr>
                <w:rFonts w:ascii="宋体" w:hAnsi="宋体" w:eastAsia="宋体" w:cs="宋体"/>
                <w:sz w:val="21"/>
                <w:szCs w:val="21"/>
              </w:rPr>
            </w:pPr>
            <w:r>
              <w:rPr>
                <w:rFonts w:ascii="宋体" w:hAnsi="宋体" w:eastAsia="宋体" w:cs="宋体"/>
                <w:spacing w:val="10"/>
                <w:sz w:val="21"/>
                <w:szCs w:val="21"/>
              </w:rPr>
              <w:t>法</w:t>
            </w:r>
            <w:r>
              <w:rPr>
                <w:rFonts w:ascii="宋体" w:hAnsi="宋体" w:eastAsia="宋体" w:cs="宋体"/>
                <w:spacing w:val="8"/>
                <w:sz w:val="21"/>
                <w:szCs w:val="21"/>
              </w:rPr>
              <w:t>定</w:t>
            </w:r>
            <w:r>
              <w:rPr>
                <w:rFonts w:ascii="宋体" w:hAnsi="宋体" w:eastAsia="宋体" w:cs="宋体"/>
                <w:spacing w:val="5"/>
                <w:sz w:val="21"/>
                <w:szCs w:val="21"/>
              </w:rPr>
              <w:t>代表人身份证复印件(正反面)</w:t>
            </w:r>
          </w:p>
        </w:tc>
      </w:tr>
    </w:tbl>
    <w:p>
      <w:pPr>
        <w:spacing w:line="438" w:lineRule="auto"/>
        <w:rPr>
          <w:rFonts w:ascii="Arial"/>
          <w:sz w:val="21"/>
        </w:rPr>
      </w:pPr>
    </w:p>
    <w:p>
      <w:pPr>
        <w:spacing w:before="68" w:line="499" w:lineRule="exact"/>
        <w:ind w:left="304"/>
        <w:rPr>
          <w:rFonts w:ascii="宋体" w:hAnsi="宋体" w:eastAsia="宋体" w:cs="宋体"/>
          <w:sz w:val="21"/>
          <w:szCs w:val="21"/>
        </w:rPr>
      </w:pPr>
      <w:r>
        <w:rPr>
          <w:rFonts w:ascii="宋体" w:hAnsi="宋体" w:eastAsia="宋体" w:cs="宋体"/>
          <w:spacing w:val="-2"/>
          <w:position w:val="22"/>
          <w:sz w:val="21"/>
          <w:szCs w:val="21"/>
        </w:rPr>
        <w:t>报价人</w:t>
      </w:r>
      <w:r>
        <w:rPr>
          <w:rFonts w:ascii="宋体" w:hAnsi="宋体" w:eastAsia="宋体" w:cs="宋体"/>
          <w:spacing w:val="-1"/>
          <w:position w:val="22"/>
          <w:sz w:val="21"/>
          <w:szCs w:val="21"/>
        </w:rPr>
        <w:t>(盖公章)：</w:t>
      </w:r>
    </w:p>
    <w:p>
      <w:pPr>
        <w:spacing w:before="1" w:line="229" w:lineRule="auto"/>
        <w:ind w:left="306"/>
        <w:rPr>
          <w:rFonts w:ascii="宋体" w:hAnsi="宋体" w:eastAsia="宋体" w:cs="宋体"/>
          <w:sz w:val="21"/>
          <w:szCs w:val="21"/>
        </w:rPr>
      </w:pPr>
      <w:r>
        <w:rPr>
          <w:rFonts w:ascii="宋体" w:hAnsi="宋体" w:eastAsia="宋体" w:cs="宋体"/>
          <w:spacing w:val="-12"/>
          <w:sz w:val="21"/>
          <w:szCs w:val="21"/>
        </w:rPr>
        <w:t>地址：</w:t>
      </w:r>
    </w:p>
    <w:p>
      <w:pPr>
        <w:spacing w:before="238" w:line="221" w:lineRule="auto"/>
        <w:ind w:left="342"/>
        <w:rPr>
          <w:rFonts w:ascii="宋体" w:hAnsi="宋体" w:eastAsia="宋体" w:cs="宋体"/>
          <w:sz w:val="21"/>
          <w:szCs w:val="21"/>
        </w:rPr>
      </w:pPr>
      <w:r>
        <w:rPr>
          <w:rFonts w:ascii="宋体" w:hAnsi="宋体" w:eastAsia="宋体" w:cs="宋体"/>
          <w:spacing w:val="-21"/>
          <w:sz w:val="21"/>
          <w:szCs w:val="21"/>
        </w:rPr>
        <w:t>日</w:t>
      </w:r>
      <w:r>
        <w:rPr>
          <w:rFonts w:ascii="宋体" w:hAnsi="宋体" w:eastAsia="宋体" w:cs="宋体"/>
          <w:spacing w:val="-20"/>
          <w:sz w:val="21"/>
          <w:szCs w:val="21"/>
        </w:rPr>
        <w:t>期：</w:t>
      </w:r>
    </w:p>
    <w:p>
      <w:pPr>
        <w:sectPr>
          <w:footerReference r:id="rId5" w:type="default"/>
          <w:pgSz w:w="11907" w:h="16839"/>
          <w:pgMar w:top="1440" w:right="1800" w:bottom="1440" w:left="1800" w:header="0" w:footer="1202" w:gutter="0"/>
          <w:cols w:space="720" w:num="1"/>
        </w:sectPr>
      </w:pP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附件6.</w:t>
      </w:r>
    </w:p>
    <w:p>
      <w:pPr>
        <w:spacing w:before="101" w:line="224" w:lineRule="auto"/>
        <w:ind w:left="3180"/>
        <w:rPr>
          <w:rFonts w:hint="eastAsia" w:ascii="宋体" w:hAnsi="宋体" w:eastAsia="宋体" w:cs="宋体"/>
          <w:spacing w:val="9"/>
          <w:sz w:val="31"/>
          <w:szCs w:val="31"/>
          <w14:textOutline w14:w="5791" w14:cap="flat" w14:cmpd="sng">
            <w14:solidFill>
              <w14:srgbClr w14:val="000000"/>
            </w14:solidFill>
            <w14:prstDash w14:val="solid"/>
            <w14:miter w14:val="0"/>
          </w14:textOutline>
        </w:rPr>
      </w:pPr>
      <w:r>
        <w:rPr>
          <w:rFonts w:hint="eastAsia" w:ascii="宋体" w:hAnsi="宋体" w:eastAsia="宋体" w:cs="宋体"/>
          <w:spacing w:val="9"/>
          <w:sz w:val="31"/>
          <w:szCs w:val="31"/>
          <w14:textOutline w14:w="5791" w14:cap="flat" w14:cmpd="sng">
            <w14:solidFill>
              <w14:srgbClr w14:val="000000"/>
            </w14:solidFill>
            <w14:prstDash w14:val="solid"/>
            <w14:miter w14:val="0"/>
          </w14:textOutline>
        </w:rPr>
        <w:t>法定代表人授权书</w:t>
      </w:r>
    </w:p>
    <w:p>
      <w:pPr>
        <w:rPr>
          <w:rFonts w:hint="eastAsia"/>
        </w:rPr>
      </w:pP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本授权委托书声明：注册于</w:t>
      </w:r>
      <w:r>
        <w:rPr>
          <w:rFonts w:hint="eastAsia" w:ascii="宋体" w:hAnsi="宋体"/>
          <w:szCs w:val="21"/>
          <w:highlight w:val="none"/>
          <w:u w:val="single"/>
        </w:rPr>
        <w:t xml:space="preserve">    (报价人地址)   </w:t>
      </w:r>
      <w:r>
        <w:rPr>
          <w:rFonts w:hint="eastAsia" w:ascii="宋体" w:hAnsi="宋体"/>
          <w:szCs w:val="21"/>
          <w:highlight w:val="none"/>
        </w:rPr>
        <w:t>的</w:t>
      </w:r>
      <w:r>
        <w:rPr>
          <w:rFonts w:hint="eastAsia" w:ascii="宋体" w:hAnsi="宋体"/>
          <w:szCs w:val="21"/>
          <w:highlight w:val="none"/>
          <w:u w:val="single"/>
        </w:rPr>
        <w:t xml:space="preserve">  (报价人名称)    </w:t>
      </w:r>
      <w:r>
        <w:rPr>
          <w:rFonts w:hint="eastAsia" w:ascii="宋体" w:hAnsi="宋体"/>
          <w:szCs w:val="21"/>
          <w:highlight w:val="none"/>
        </w:rPr>
        <w:t>在下面签名的</w:t>
      </w:r>
      <w:r>
        <w:rPr>
          <w:rFonts w:hint="eastAsia" w:ascii="宋体" w:hAnsi="宋体"/>
          <w:szCs w:val="21"/>
          <w:highlight w:val="none"/>
          <w:u w:val="single"/>
        </w:rPr>
        <w:t xml:space="preserve">(法定代表人姓名、职务) </w:t>
      </w:r>
      <w:r>
        <w:rPr>
          <w:rFonts w:hint="eastAsia" w:ascii="宋体" w:hAnsi="宋体"/>
          <w:szCs w:val="21"/>
          <w:highlight w:val="none"/>
        </w:rPr>
        <w:t>在此授权</w:t>
      </w:r>
      <w:r>
        <w:rPr>
          <w:rFonts w:hint="eastAsia" w:ascii="宋体" w:hAnsi="宋体"/>
          <w:szCs w:val="21"/>
          <w:highlight w:val="none"/>
          <w:u w:val="single"/>
        </w:rPr>
        <w:t xml:space="preserve"> (被授权人姓名、职务) </w:t>
      </w:r>
      <w:r>
        <w:rPr>
          <w:rFonts w:hint="eastAsia" w:ascii="宋体" w:hAnsi="宋体"/>
          <w:szCs w:val="21"/>
          <w:highlight w:val="none"/>
        </w:rPr>
        <w:t>作为我公司的合法代理人，就</w:t>
      </w:r>
      <w:r>
        <w:rPr>
          <w:rFonts w:hint="eastAsia" w:asciiTheme="minorEastAsia" w:hAnsiTheme="minorEastAsia" w:eastAsiaTheme="minorEastAsia"/>
          <w:kern w:val="28"/>
          <w:u w:val="single"/>
        </w:rPr>
        <w:t>20</w:t>
      </w:r>
      <w:r>
        <w:rPr>
          <w:rFonts w:hint="eastAsia" w:asciiTheme="minorEastAsia" w:hAnsiTheme="minorEastAsia" w:eastAsiaTheme="minorEastAsia"/>
          <w:kern w:val="28"/>
          <w:u w:val="single"/>
          <w:lang w:val="en-US" w:eastAsia="zh-CN"/>
        </w:rPr>
        <w:t>23-2024年度</w:t>
      </w:r>
      <w:r>
        <w:rPr>
          <w:rFonts w:hint="eastAsia" w:asciiTheme="minorEastAsia" w:hAnsiTheme="minorEastAsia" w:eastAsiaTheme="minorEastAsia"/>
          <w:kern w:val="28"/>
          <w:u w:val="single"/>
        </w:rPr>
        <w:t>粤传媒及下属分子公司年度机动车保险服务项目</w:t>
      </w:r>
      <w:r>
        <w:rPr>
          <w:rFonts w:hint="eastAsia" w:ascii="宋体" w:hAnsi="宋体"/>
          <w:szCs w:val="21"/>
          <w:highlight w:val="none"/>
        </w:rPr>
        <w:t>的</w:t>
      </w:r>
      <w:r>
        <w:rPr>
          <w:rFonts w:hint="eastAsia" w:ascii="宋体" w:hAnsi="宋体" w:eastAsia="宋体"/>
          <w:szCs w:val="21"/>
          <w:highlight w:val="none"/>
          <w:lang w:val="en-US" w:eastAsia="zh-CN"/>
        </w:rPr>
        <w:t>响应</w:t>
      </w:r>
      <w:r>
        <w:rPr>
          <w:rFonts w:hint="eastAsia" w:ascii="宋体" w:hAnsi="宋体"/>
          <w:szCs w:val="21"/>
          <w:highlight w:val="none"/>
        </w:rPr>
        <w:t>报价活动，合同的签订、执行、完成和售后服务，作为报价人代表以我方的名义处理一切与之有关的事务。</w:t>
      </w: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被授权人(报价人授权代表)无转委托权限。</w:t>
      </w: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本授权书自法定代表人签字之日起生效，特此声明。</w:t>
      </w:r>
    </w:p>
    <w:p>
      <w:pPr>
        <w:rPr>
          <w:rFonts w:hint="eastAsia"/>
        </w:rPr>
      </w:pPr>
    </w:p>
    <w:p>
      <w:pPr>
        <w:rPr>
          <w:rFonts w:hint="eastAsia"/>
        </w:rPr>
      </w:pPr>
    </w:p>
    <w:p>
      <w:pPr>
        <w:rPr>
          <w:rFonts w:hint="eastAsia"/>
        </w:rPr>
      </w:pPr>
    </w:p>
    <w:p>
      <w:pPr>
        <w:rPr>
          <w:rFonts w:hint="eastAsia"/>
        </w:rPr>
      </w:pPr>
    </w:p>
    <w:p>
      <w:pPr>
        <w:rPr>
          <w:rFonts w:hint="eastAsia"/>
        </w:rPr>
      </w:pP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报价人名称(盖公章)：</w:t>
      </w: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地      址：</w:t>
      </w: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法定代表人(签字或盖章)：</w:t>
      </w:r>
      <w:r>
        <w:rPr>
          <w:rFonts w:hint="eastAsia" w:ascii="宋体" w:hAnsi="宋体"/>
          <w:szCs w:val="21"/>
          <w:highlight w:val="none"/>
          <w:lang w:val="en-US" w:eastAsia="zh-CN"/>
        </w:rPr>
        <w:t xml:space="preserve">                            </w:t>
      </w:r>
      <w:r>
        <w:rPr>
          <w:rFonts w:hint="eastAsia" w:ascii="宋体" w:hAnsi="宋体"/>
          <w:szCs w:val="21"/>
          <w:highlight w:val="none"/>
        </w:rPr>
        <w:t xml:space="preserve">签字日期：     年   月  </w:t>
      </w:r>
      <w:r>
        <w:rPr>
          <w:rFonts w:hint="eastAsia" w:ascii="宋体" w:hAnsi="宋体"/>
          <w:szCs w:val="21"/>
          <w:highlight w:val="none"/>
          <w:lang w:val="en-US" w:eastAsia="zh-CN"/>
        </w:rPr>
        <w:t>日</w:t>
      </w:r>
      <w:r>
        <w:rPr>
          <w:rFonts w:hint="eastAsia" w:ascii="宋体" w:hAnsi="宋体"/>
          <w:szCs w:val="21"/>
          <w:highlight w:val="none"/>
        </w:rPr>
        <w:t xml:space="preserve"> </w:t>
      </w: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被授权人(报价人授权代表) (签字或盖章)：</w:t>
      </w:r>
      <w:r>
        <w:rPr>
          <w:rFonts w:hint="eastAsia" w:ascii="宋体" w:hAnsi="宋体"/>
          <w:szCs w:val="21"/>
          <w:highlight w:val="none"/>
          <w:lang w:val="en-US" w:eastAsia="zh-CN"/>
        </w:rPr>
        <w:t xml:space="preserve">             </w:t>
      </w:r>
      <w:r>
        <w:rPr>
          <w:rFonts w:hint="eastAsia" w:ascii="宋体" w:hAnsi="宋体"/>
          <w:szCs w:val="21"/>
          <w:highlight w:val="none"/>
        </w:rPr>
        <w:t xml:space="preserve">签字日期：     年   月  </w:t>
      </w:r>
      <w:r>
        <w:rPr>
          <w:rFonts w:hint="eastAsia" w:ascii="宋体" w:hAnsi="宋体"/>
          <w:szCs w:val="21"/>
          <w:highlight w:val="none"/>
          <w:lang w:val="en-US" w:eastAsia="zh-CN"/>
        </w:rPr>
        <w:t>日</w:t>
      </w:r>
      <w:r>
        <w:rPr>
          <w:rFonts w:hint="eastAsia" w:ascii="宋体" w:hAnsi="宋体"/>
          <w:szCs w:val="21"/>
          <w:highlight w:val="none"/>
        </w:rPr>
        <w:t xml:space="preserve"> </w:t>
      </w:r>
    </w:p>
    <w:p>
      <w:pPr>
        <w:rPr>
          <w:rFonts w:hint="default" w:eastAsia="宋体"/>
          <w:lang w:val="en-US" w:eastAsia="zh-CN"/>
        </w:rPr>
      </w:pPr>
    </w:p>
    <w:tbl>
      <w:tblPr>
        <w:tblStyle w:val="7"/>
        <w:tblW w:w="9090" w:type="dxa"/>
        <w:tblInd w:w="12" w:type="dxa"/>
        <w:tblBorders>
          <w:top w:val="single" w:color="739CC3" w:sz="10" w:space="0"/>
          <w:left w:val="single" w:color="739CC3" w:sz="10" w:space="0"/>
          <w:bottom w:val="single" w:color="739CC3" w:sz="10" w:space="0"/>
          <w:right w:val="single" w:color="739CC3" w:sz="10" w:space="0"/>
          <w:insideH w:val="none" w:color="auto" w:sz="0" w:space="0"/>
          <w:insideV w:val="none" w:color="auto" w:sz="0" w:space="0"/>
        </w:tblBorders>
        <w:tblLayout w:type="fixed"/>
        <w:tblCellMar>
          <w:top w:w="0" w:type="dxa"/>
          <w:left w:w="0" w:type="dxa"/>
          <w:bottom w:w="0" w:type="dxa"/>
          <w:right w:w="0" w:type="dxa"/>
        </w:tblCellMar>
      </w:tblPr>
      <w:tblGrid>
        <w:gridCol w:w="9090"/>
      </w:tblGrid>
      <w:tr>
        <w:tblPrEx>
          <w:tblBorders>
            <w:top w:val="single" w:color="739CC3" w:sz="10" w:space="0"/>
            <w:left w:val="single" w:color="739CC3" w:sz="10" w:space="0"/>
            <w:bottom w:val="single" w:color="739CC3" w:sz="10" w:space="0"/>
            <w:right w:val="single" w:color="739CC3" w:sz="10" w:space="0"/>
            <w:insideH w:val="none" w:color="auto" w:sz="0" w:space="0"/>
            <w:insideV w:val="none" w:color="auto" w:sz="0" w:space="0"/>
          </w:tblBorders>
          <w:tblCellMar>
            <w:top w:w="0" w:type="dxa"/>
            <w:left w:w="0" w:type="dxa"/>
            <w:bottom w:w="0" w:type="dxa"/>
            <w:right w:w="0" w:type="dxa"/>
          </w:tblCellMar>
        </w:tblPrEx>
        <w:trPr>
          <w:trHeight w:val="3368" w:hRule="atLeast"/>
        </w:trPr>
        <w:tc>
          <w:tcPr>
            <w:tcW w:w="9090"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69" w:line="221" w:lineRule="auto"/>
              <w:ind w:left="2862"/>
              <w:rPr>
                <w:rFonts w:ascii="宋体" w:hAnsi="宋体" w:eastAsia="宋体" w:cs="宋体"/>
                <w:sz w:val="21"/>
                <w:szCs w:val="21"/>
              </w:rPr>
            </w:pPr>
            <w:r>
              <w:rPr>
                <w:rFonts w:ascii="宋体" w:hAnsi="宋体" w:eastAsia="宋体" w:cs="宋体"/>
                <w:spacing w:val="10"/>
                <w:sz w:val="21"/>
                <w:szCs w:val="21"/>
              </w:rPr>
              <w:t>法</w:t>
            </w:r>
            <w:r>
              <w:rPr>
                <w:rFonts w:ascii="宋体" w:hAnsi="宋体" w:eastAsia="宋体" w:cs="宋体"/>
                <w:spacing w:val="8"/>
                <w:sz w:val="21"/>
                <w:szCs w:val="21"/>
              </w:rPr>
              <w:t>定</w:t>
            </w:r>
            <w:r>
              <w:rPr>
                <w:rFonts w:ascii="宋体" w:hAnsi="宋体" w:eastAsia="宋体" w:cs="宋体"/>
                <w:spacing w:val="5"/>
                <w:sz w:val="21"/>
                <w:szCs w:val="21"/>
              </w:rPr>
              <w:t>代表人身份证复印件(正反面)</w:t>
            </w:r>
          </w:p>
        </w:tc>
      </w:tr>
    </w:tbl>
    <w:p>
      <w:pPr>
        <w:rPr>
          <w:rFonts w:hint="eastAsia"/>
        </w:rPr>
      </w:pPr>
    </w:p>
    <w:p>
      <w:pPr>
        <w:rPr>
          <w:rFonts w:hint="eastAsia"/>
        </w:rPr>
      </w:pPr>
    </w:p>
    <w:p>
      <w:pPr>
        <w:rPr>
          <w:rFonts w:hint="eastAsia"/>
        </w:rPr>
      </w:pP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 xml:space="preserve">说明： </w:t>
      </w: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 xml:space="preserve">1．法定代表人亲自签署报价函件并亲自参加报价的，则无需提交本《法定代表人授权委托书》文件。                                                               </w:t>
      </w: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2．报价函件由委托代理人签署的，则须提交有单位公章、法定代表人的亲笔签名或盖章、</w:t>
      </w:r>
    </w:p>
    <w:p>
      <w:pPr>
        <w:snapToGrid w:val="0"/>
        <w:spacing w:line="360" w:lineRule="auto"/>
        <w:ind w:firstLine="422" w:firstLineChars="201"/>
        <w:rPr>
          <w:rFonts w:hint="eastAsia" w:ascii="宋体" w:hAnsi="宋体"/>
          <w:szCs w:val="21"/>
          <w:highlight w:val="none"/>
        </w:rPr>
      </w:pPr>
      <w:r>
        <w:rPr>
          <w:rFonts w:hint="eastAsia" w:ascii="宋体" w:hAnsi="宋体"/>
          <w:szCs w:val="21"/>
          <w:highlight w:val="none"/>
        </w:rPr>
        <w:t>被授权人的亲笔签名或盖章的本文件，三者缺一不可。</w:t>
      </w:r>
    </w:p>
    <w:p>
      <w:pPr>
        <w:spacing w:before="179" w:line="219" w:lineRule="auto"/>
        <w:rPr>
          <w:rFonts w:hint="eastAsia" w:ascii="仿宋" w:hAnsi="仿宋" w:eastAsia="仿宋" w:cs="仿宋"/>
          <w:sz w:val="28"/>
          <w:szCs w:val="28"/>
          <w:lang w:val="en-US" w:eastAsia="zh-CN"/>
        </w:rPr>
      </w:pPr>
    </w:p>
    <w:p>
      <w:pPr>
        <w:spacing w:before="179" w:line="219" w:lineRule="auto"/>
        <w:rPr>
          <w:rFonts w:hint="eastAsia" w:ascii="仿宋" w:hAnsi="仿宋" w:eastAsia="仿宋" w:cs="仿宋"/>
          <w:sz w:val="28"/>
          <w:szCs w:val="28"/>
          <w:lang w:val="en-US" w:eastAsia="zh-CN"/>
        </w:rPr>
      </w:pPr>
    </w:p>
    <w:p>
      <w:p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附件7.</w:t>
      </w:r>
    </w:p>
    <w:p>
      <w:pPr>
        <w:jc w:val="center"/>
        <w:rPr>
          <w:rFonts w:hint="eastAsia"/>
          <w:b/>
          <w:sz w:val="28"/>
          <w:szCs w:val="28"/>
          <w:lang w:eastAsia="zh-CN"/>
        </w:rPr>
      </w:pPr>
    </w:p>
    <w:p>
      <w:pPr>
        <w:jc w:val="center"/>
        <w:rPr>
          <w:b/>
          <w:sz w:val="28"/>
          <w:szCs w:val="28"/>
        </w:rPr>
      </w:pPr>
      <w:r>
        <w:rPr>
          <w:rFonts w:hint="eastAsia"/>
          <w:b/>
          <w:sz w:val="28"/>
          <w:szCs w:val="28"/>
          <w:lang w:eastAsia="zh-CN"/>
        </w:rPr>
        <w:t>报价人</w:t>
      </w:r>
      <w:r>
        <w:rPr>
          <w:rFonts w:hint="eastAsia"/>
          <w:b/>
          <w:sz w:val="28"/>
          <w:szCs w:val="28"/>
        </w:rPr>
        <w:t>资格声明函</w:t>
      </w:r>
    </w:p>
    <w:p>
      <w:pPr>
        <w:rPr>
          <w:b/>
          <w:szCs w:val="21"/>
        </w:rPr>
      </w:pPr>
    </w:p>
    <w:p>
      <w:pPr>
        <w:rPr>
          <w:b/>
          <w:szCs w:val="21"/>
        </w:rPr>
      </w:pPr>
      <w:r>
        <w:rPr>
          <w:rFonts w:hint="eastAsia"/>
          <w:b/>
          <w:szCs w:val="21"/>
        </w:rPr>
        <w:t>致广东广州日报传媒股份有限公司：</w:t>
      </w:r>
    </w:p>
    <w:p>
      <w:pPr>
        <w:snapToGrid w:val="0"/>
        <w:spacing w:beforeLines="50" w:line="360" w:lineRule="auto"/>
        <w:ind w:firstLine="525" w:firstLineChars="250"/>
        <w:rPr>
          <w:rFonts w:ascii="宋体" w:hAnsi="宋体"/>
          <w:szCs w:val="21"/>
        </w:rPr>
      </w:pPr>
      <w:r>
        <w:rPr>
          <w:rFonts w:hint="eastAsia" w:ascii="宋体" w:hAnsi="宋体"/>
          <w:szCs w:val="21"/>
        </w:rPr>
        <w:t>关于贵公司</w:t>
      </w:r>
      <w:r>
        <w:rPr>
          <w:rFonts w:hint="eastAsia" w:asciiTheme="minorEastAsia" w:hAnsiTheme="minorEastAsia" w:eastAsiaTheme="minorEastAsia"/>
          <w:kern w:val="28"/>
          <w:u w:val="single"/>
        </w:rPr>
        <w:t>20</w:t>
      </w:r>
      <w:r>
        <w:rPr>
          <w:rFonts w:hint="eastAsia" w:asciiTheme="minorEastAsia" w:hAnsiTheme="minorEastAsia" w:eastAsiaTheme="minorEastAsia"/>
          <w:kern w:val="28"/>
          <w:u w:val="single"/>
          <w:lang w:val="en-US" w:eastAsia="zh-CN"/>
        </w:rPr>
        <w:t>23-2024年度</w:t>
      </w:r>
      <w:r>
        <w:rPr>
          <w:rFonts w:hint="eastAsia" w:asciiTheme="minorEastAsia" w:hAnsiTheme="minorEastAsia" w:eastAsiaTheme="minorEastAsia"/>
          <w:kern w:val="28"/>
          <w:u w:val="single"/>
        </w:rPr>
        <w:t>粤传媒及下属分子公司年度机动车保险服务项目</w:t>
      </w:r>
      <w:r>
        <w:rPr>
          <w:rFonts w:hint="eastAsia" w:asciiTheme="minorEastAsia" w:hAnsiTheme="minorEastAsia" w:eastAsiaTheme="minorEastAsia"/>
          <w:color w:val="000000" w:themeColor="text1"/>
          <w:szCs w:val="21"/>
          <w:u w:val="single"/>
          <w14:textFill>
            <w14:solidFill>
              <w14:schemeClr w14:val="tx1"/>
            </w14:solidFill>
          </w14:textFill>
        </w:rPr>
        <w:t>，</w:t>
      </w:r>
      <w:r>
        <w:rPr>
          <w:rFonts w:hint="eastAsia" w:ascii="宋体" w:hAnsi="宋体"/>
          <w:szCs w:val="21"/>
        </w:rPr>
        <w:t>本公司（企业）愿意</w:t>
      </w:r>
      <w:r>
        <w:rPr>
          <w:rFonts w:hint="eastAsia" w:ascii="宋体" w:hAnsi="宋体" w:eastAsia="宋体"/>
          <w:szCs w:val="21"/>
          <w:lang w:val="en-US" w:eastAsia="zh-CN"/>
        </w:rPr>
        <w:t>响应并</w:t>
      </w:r>
      <w:r>
        <w:rPr>
          <w:rFonts w:hint="eastAsia" w:ascii="宋体" w:hAnsi="宋体"/>
          <w:szCs w:val="21"/>
        </w:rPr>
        <w:t>参加</w:t>
      </w:r>
      <w:r>
        <w:rPr>
          <w:rFonts w:hint="eastAsia" w:ascii="宋体" w:hAnsi="宋体" w:eastAsia="宋体"/>
          <w:szCs w:val="21"/>
          <w:lang w:val="en-US" w:eastAsia="zh-CN"/>
        </w:rPr>
        <w:t>报价</w:t>
      </w:r>
      <w:r>
        <w:rPr>
          <w:rFonts w:hint="eastAsia" w:ascii="宋体" w:hAnsi="宋体"/>
          <w:szCs w:val="21"/>
        </w:rPr>
        <w:t>，并声明：</w:t>
      </w:r>
    </w:p>
    <w:p>
      <w:pPr>
        <w:snapToGrid w:val="0"/>
        <w:spacing w:line="360" w:lineRule="auto"/>
        <w:ind w:firstLine="422" w:firstLineChars="201"/>
        <w:rPr>
          <w:rFonts w:ascii="宋体" w:hAnsi="宋体"/>
          <w:szCs w:val="21"/>
          <w:highlight w:val="none"/>
        </w:rPr>
      </w:pPr>
      <w:r>
        <w:rPr>
          <w:rFonts w:hint="eastAsia" w:ascii="宋体" w:hAnsi="宋体"/>
          <w:szCs w:val="21"/>
        </w:rPr>
        <w:t>一、本公司（企业）具备</w:t>
      </w:r>
      <w:r>
        <w:rPr>
          <w:rFonts w:hint="eastAsia" w:ascii="宋体" w:hAnsi="宋体"/>
          <w:bCs/>
          <w:szCs w:val="21"/>
          <w:lang w:eastAsia="zh-CN"/>
        </w:rPr>
        <w:t>采购</w:t>
      </w:r>
      <w:r>
        <w:rPr>
          <w:rFonts w:hint="eastAsia" w:ascii="宋体" w:hAnsi="宋体"/>
          <w:bCs/>
          <w:szCs w:val="21"/>
        </w:rPr>
        <w:t>文件中的“</w:t>
      </w:r>
      <w:r>
        <w:rPr>
          <w:rFonts w:hint="eastAsia" w:ascii="宋体" w:hAnsi="宋体"/>
          <w:bCs/>
          <w:szCs w:val="21"/>
          <w:lang w:eastAsia="zh-CN"/>
        </w:rPr>
        <w:t>报价人</w:t>
      </w:r>
      <w:r>
        <w:rPr>
          <w:rFonts w:hint="eastAsia" w:ascii="宋体" w:hAnsi="宋体"/>
          <w:bCs/>
          <w:szCs w:val="21"/>
        </w:rPr>
        <w:t>资格要求”，</w:t>
      </w:r>
      <w:r>
        <w:rPr>
          <w:rFonts w:hint="eastAsia" w:ascii="宋体" w:hAnsi="宋体"/>
          <w:szCs w:val="21"/>
        </w:rPr>
        <w:t>并已清楚</w:t>
      </w:r>
      <w:r>
        <w:rPr>
          <w:rFonts w:hint="eastAsia" w:ascii="宋体" w:hAnsi="宋体" w:eastAsia="宋体"/>
          <w:szCs w:val="21"/>
          <w:lang w:val="en-US" w:eastAsia="zh-CN"/>
        </w:rPr>
        <w:t>采购</w:t>
      </w:r>
      <w:r>
        <w:rPr>
          <w:rFonts w:hint="eastAsia" w:ascii="宋体" w:hAnsi="宋体"/>
          <w:szCs w:val="21"/>
        </w:rPr>
        <w:t>文件的要求及有关文件规定，</w:t>
      </w:r>
      <w:r>
        <w:rPr>
          <w:rFonts w:hint="eastAsia" w:ascii="宋体" w:hAnsi="宋体"/>
          <w:szCs w:val="21"/>
          <w:highlight w:val="none"/>
        </w:rPr>
        <w:t>我方承诺单位负责人为同一人或者存在控股、管理关系的不同单位，不得参加同一</w:t>
      </w:r>
      <w:r>
        <w:rPr>
          <w:rFonts w:hint="eastAsia" w:ascii="宋体" w:hAnsi="宋体" w:eastAsia="宋体"/>
          <w:szCs w:val="21"/>
          <w:highlight w:val="none"/>
          <w:lang w:val="en-US" w:eastAsia="zh-CN"/>
        </w:rPr>
        <w:t>项目响应报价</w:t>
      </w:r>
      <w:r>
        <w:rPr>
          <w:rFonts w:hint="eastAsia" w:ascii="宋体" w:hAnsi="宋体"/>
          <w:szCs w:val="21"/>
          <w:highlight w:val="none"/>
        </w:rPr>
        <w:t>。</w:t>
      </w:r>
    </w:p>
    <w:p>
      <w:pPr>
        <w:snapToGrid w:val="0"/>
        <w:spacing w:line="360" w:lineRule="auto"/>
        <w:ind w:firstLine="422" w:firstLineChars="201"/>
        <w:rPr>
          <w:rFonts w:ascii="宋体" w:hAnsi="宋体"/>
          <w:szCs w:val="21"/>
        </w:rPr>
      </w:pPr>
      <w:r>
        <w:rPr>
          <w:rFonts w:hint="eastAsia" w:ascii="宋体" w:hAnsi="宋体"/>
          <w:szCs w:val="21"/>
        </w:rPr>
        <w:t>二、我方承诺在本次</w:t>
      </w:r>
      <w:r>
        <w:rPr>
          <w:rFonts w:hint="eastAsia" w:ascii="宋体" w:hAnsi="宋体" w:eastAsia="宋体"/>
          <w:szCs w:val="21"/>
          <w:lang w:val="en-US" w:eastAsia="zh-CN"/>
        </w:rPr>
        <w:t>响应报价</w:t>
      </w:r>
      <w:r>
        <w:rPr>
          <w:rFonts w:hint="eastAsia" w:ascii="宋体" w:hAnsi="宋体"/>
          <w:szCs w:val="21"/>
        </w:rPr>
        <w:t>活动中不存在以下情况：（1）被责令停业；（2）被暂停或取消</w:t>
      </w:r>
      <w:r>
        <w:rPr>
          <w:rFonts w:hint="eastAsia" w:ascii="宋体" w:hAnsi="宋体" w:eastAsia="宋体"/>
          <w:szCs w:val="21"/>
          <w:lang w:val="en-US" w:eastAsia="zh-CN"/>
        </w:rPr>
        <w:t>报价</w:t>
      </w:r>
      <w:r>
        <w:rPr>
          <w:rFonts w:hint="eastAsia" w:ascii="宋体" w:hAnsi="宋体"/>
          <w:szCs w:val="21"/>
        </w:rPr>
        <w:t>资格；（3）财产被接管或者冻结；（4）近三年内在经营活动中有重大违法记录、有重大未了结债务纠纷。</w:t>
      </w:r>
    </w:p>
    <w:p>
      <w:pPr>
        <w:snapToGrid w:val="0"/>
        <w:spacing w:line="360" w:lineRule="auto"/>
        <w:ind w:firstLine="422" w:firstLineChars="201"/>
        <w:rPr>
          <w:rFonts w:ascii="宋体" w:hAnsi="宋体"/>
          <w:szCs w:val="21"/>
        </w:rPr>
      </w:pPr>
      <w:r>
        <w:rPr>
          <w:rFonts w:hint="eastAsia" w:ascii="宋体" w:hAnsi="宋体"/>
          <w:szCs w:val="21"/>
        </w:rPr>
        <w:t>三、我方承诺在本次</w:t>
      </w:r>
      <w:r>
        <w:rPr>
          <w:rFonts w:hint="eastAsia" w:ascii="宋体" w:hAnsi="宋体"/>
          <w:szCs w:val="21"/>
          <w:lang w:val="en-US" w:eastAsia="zh-CN"/>
        </w:rPr>
        <w:t>响应报价</w:t>
      </w:r>
      <w:r>
        <w:rPr>
          <w:rFonts w:hint="eastAsia" w:ascii="宋体" w:hAnsi="宋体"/>
          <w:szCs w:val="21"/>
        </w:rPr>
        <w:t>活动中，如有违法、违规、弄虚作假行为，所造成的损失、不良后果及法律责任，一律由我公司（企业）承担。</w:t>
      </w:r>
    </w:p>
    <w:p>
      <w:pPr>
        <w:spacing w:line="360" w:lineRule="auto"/>
        <w:ind w:firstLine="420"/>
        <w:rPr>
          <w:szCs w:val="21"/>
        </w:rPr>
      </w:pPr>
      <w:r>
        <w:rPr>
          <w:rFonts w:hint="eastAsia"/>
          <w:szCs w:val="21"/>
        </w:rPr>
        <w:t>特此声明！</w:t>
      </w:r>
    </w:p>
    <w:p>
      <w:pPr>
        <w:spacing w:line="360" w:lineRule="auto"/>
        <w:rPr>
          <w:rFonts w:ascii="宋体" w:hAnsi="宋体"/>
          <w:b/>
          <w:szCs w:val="21"/>
        </w:rPr>
      </w:pPr>
      <w:r>
        <w:rPr>
          <w:rFonts w:hint="eastAsia" w:ascii="宋体" w:hAnsi="宋体"/>
          <w:b/>
          <w:szCs w:val="21"/>
        </w:rPr>
        <w:t>备注：1.本声明函必须提供且内容不得擅自删改，否则视为无效</w:t>
      </w:r>
      <w:r>
        <w:rPr>
          <w:rFonts w:hint="eastAsia" w:ascii="宋体" w:hAnsi="宋体"/>
          <w:b/>
          <w:szCs w:val="21"/>
          <w:lang w:eastAsia="zh-CN"/>
        </w:rPr>
        <w:t>报价（响应）</w:t>
      </w:r>
      <w:r>
        <w:rPr>
          <w:rFonts w:hint="eastAsia" w:ascii="宋体" w:hAnsi="宋体"/>
          <w:b/>
          <w:szCs w:val="21"/>
        </w:rPr>
        <w:t>。</w:t>
      </w:r>
    </w:p>
    <w:p>
      <w:pPr>
        <w:spacing w:line="360" w:lineRule="auto"/>
        <w:ind w:firstLine="630" w:firstLineChars="300"/>
        <w:rPr>
          <w:szCs w:val="21"/>
        </w:rPr>
      </w:pPr>
      <w:r>
        <w:rPr>
          <w:rFonts w:hint="eastAsia" w:ascii="宋体" w:hAnsi="宋体"/>
          <w:b/>
          <w:szCs w:val="21"/>
        </w:rPr>
        <w:t>2.本声明函如有虚假或与事实不符的，作无效</w:t>
      </w:r>
      <w:r>
        <w:rPr>
          <w:rFonts w:hint="eastAsia" w:ascii="宋体" w:hAnsi="宋体"/>
          <w:b/>
          <w:szCs w:val="21"/>
          <w:lang w:eastAsia="zh-CN"/>
        </w:rPr>
        <w:t>报价（响应）</w:t>
      </w:r>
      <w:r>
        <w:rPr>
          <w:rFonts w:hint="eastAsia" w:ascii="宋体" w:hAnsi="宋体"/>
          <w:b/>
          <w:szCs w:val="21"/>
        </w:rPr>
        <w:t>处理。</w:t>
      </w:r>
    </w:p>
    <w:p>
      <w:pPr>
        <w:spacing w:line="360" w:lineRule="auto"/>
      </w:pPr>
    </w:p>
    <w:p>
      <w:pPr>
        <w:spacing w:line="360" w:lineRule="auto"/>
      </w:pPr>
    </w:p>
    <w:p>
      <w:pPr>
        <w:spacing w:line="360" w:lineRule="auto"/>
        <w:ind w:right="420"/>
        <w:rPr>
          <w:rFonts w:ascii="宋体" w:hAnsi="宋体"/>
        </w:rPr>
      </w:pPr>
      <w:r>
        <w:rPr>
          <w:rFonts w:hint="eastAsia" w:ascii="宋体" w:hAnsi="宋体"/>
          <w:lang w:eastAsia="zh-CN"/>
        </w:rPr>
        <w:t>报价人</w:t>
      </w:r>
      <w:r>
        <w:rPr>
          <w:rFonts w:hint="eastAsia" w:ascii="宋体" w:hAnsi="宋体"/>
        </w:rPr>
        <w:t>（盖公章）：</w:t>
      </w:r>
    </w:p>
    <w:p>
      <w:pPr>
        <w:spacing w:line="360" w:lineRule="auto"/>
        <w:ind w:right="420"/>
        <w:rPr>
          <w:rFonts w:hint="eastAsia" w:ascii="宋体" w:hAnsi="宋体"/>
        </w:rPr>
      </w:pPr>
      <w:r>
        <w:rPr>
          <w:rFonts w:hint="eastAsia" w:ascii="宋体" w:hAnsi="宋体"/>
        </w:rPr>
        <w:t>法定代表人或</w:t>
      </w:r>
      <w:r>
        <w:rPr>
          <w:rFonts w:hint="eastAsia" w:ascii="宋体" w:hAnsi="宋体"/>
          <w:lang w:eastAsia="zh-CN"/>
        </w:rPr>
        <w:t>报价人</w:t>
      </w:r>
      <w:r>
        <w:rPr>
          <w:rFonts w:hint="eastAsia" w:ascii="宋体" w:hAnsi="宋体"/>
        </w:rPr>
        <w:t>授权代表（签名或盖章）：</w:t>
      </w:r>
    </w:p>
    <w:p>
      <w:pPr>
        <w:spacing w:line="360" w:lineRule="auto"/>
        <w:ind w:right="420"/>
        <w:rPr>
          <w:rFonts w:hint="eastAsia" w:ascii="宋体" w:hAnsi="宋体"/>
        </w:rPr>
      </w:pPr>
      <w:r>
        <w:rPr>
          <w:rFonts w:hint="eastAsia" w:ascii="宋体" w:hAnsi="宋体"/>
        </w:rPr>
        <w:t>日期：    年   月   日</w:t>
      </w:r>
    </w:p>
    <w:p>
      <w:pPr>
        <w:spacing w:line="360" w:lineRule="auto"/>
        <w:ind w:firstLine="0" w:firstLineChars="0"/>
        <w:rPr>
          <w:rFonts w:hint="eastAsia" w:ascii="宋体" w:hAnsi="宋体" w:eastAsia="宋体" w:cs="宋体"/>
          <w:sz w:val="28"/>
          <w:szCs w:val="28"/>
        </w:rPr>
      </w:pPr>
    </w:p>
    <w:p>
      <w:pPr>
        <w:pStyle w:val="2"/>
        <w:rPr>
          <w:rFonts w:hint="default" w:eastAsia="宋体"/>
          <w:lang w:val="en-US" w:eastAsia="zh-CN"/>
        </w:rPr>
      </w:pPr>
    </w:p>
    <w:p>
      <w:pPr>
        <w:rPr>
          <w:rFonts w:hint="default" w:eastAsia="宋体"/>
          <w:lang w:val="en-US" w:eastAsia="zh-CN"/>
        </w:rPr>
      </w:pPr>
    </w:p>
    <w:p>
      <w:pPr>
        <w:pStyle w:val="2"/>
        <w:rPr>
          <w:rFonts w:hint="default" w:eastAsia="宋体"/>
          <w:lang w:val="en-US" w:eastAsia="zh-CN"/>
        </w:rPr>
      </w:pPr>
    </w:p>
    <w:p>
      <w:pPr>
        <w:rPr>
          <w:rFonts w:hint="default" w:eastAsia="宋体"/>
          <w:lang w:val="en-US" w:eastAsia="zh-CN"/>
        </w:rPr>
      </w:pPr>
    </w:p>
    <w:p>
      <w:pPr>
        <w:pStyle w:val="2"/>
        <w:rPr>
          <w:rFonts w:hint="default" w:eastAsia="宋体"/>
          <w:lang w:val="en-US" w:eastAsia="zh-CN"/>
        </w:rPr>
      </w:pPr>
    </w:p>
    <w:p>
      <w:pPr>
        <w:rPr>
          <w:rFonts w:hint="default" w:eastAsia="宋体"/>
          <w:lang w:val="en-US" w:eastAsia="zh-CN"/>
        </w:rPr>
      </w:pP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附件8.</w:t>
      </w:r>
    </w:p>
    <w:p>
      <w:pPr>
        <w:spacing w:line="360" w:lineRule="auto"/>
        <w:jc w:val="center"/>
        <w:rPr>
          <w:rFonts w:cs="Arial" w:asciiTheme="minorEastAsia" w:hAnsiTheme="minorEastAsia" w:eastAsiaTheme="minorEastAsia"/>
          <w:b/>
          <w:color w:val="000000" w:themeColor="text1"/>
          <w:sz w:val="28"/>
          <w:szCs w:val="28"/>
          <w14:textFill>
            <w14:solidFill>
              <w14:schemeClr w14:val="tx1"/>
            </w14:solidFill>
          </w14:textFill>
        </w:rPr>
      </w:pPr>
      <w:r>
        <w:rPr>
          <w:rFonts w:hint="eastAsia" w:cs="Arial" w:asciiTheme="minorEastAsia" w:hAnsiTheme="minorEastAsia" w:eastAsiaTheme="minorEastAsia"/>
          <w:b/>
          <w:color w:val="000000" w:themeColor="text1"/>
          <w:sz w:val="28"/>
          <w:szCs w:val="28"/>
          <w:lang w:eastAsia="zh-CN"/>
          <w14:textFill>
            <w14:solidFill>
              <w14:schemeClr w14:val="tx1"/>
            </w14:solidFill>
          </w14:textFill>
        </w:rPr>
        <w:t>报价人</w:t>
      </w:r>
      <w:r>
        <w:rPr>
          <w:rFonts w:hint="eastAsia" w:cs="Arial" w:asciiTheme="minorEastAsia" w:hAnsiTheme="minorEastAsia" w:eastAsiaTheme="minorEastAsia"/>
          <w:b/>
          <w:color w:val="000000" w:themeColor="text1"/>
          <w:sz w:val="28"/>
          <w:szCs w:val="28"/>
          <w:lang w:val="en-US" w:eastAsia="zh-CN"/>
          <w14:textFill>
            <w14:solidFill>
              <w14:schemeClr w14:val="tx1"/>
            </w14:solidFill>
          </w14:textFill>
        </w:rPr>
        <w:t>同类</w:t>
      </w:r>
      <w:r>
        <w:rPr>
          <w:rFonts w:hint="eastAsia" w:cs="Arial" w:asciiTheme="minorEastAsia" w:hAnsiTheme="minorEastAsia" w:eastAsiaTheme="minorEastAsia"/>
          <w:b/>
          <w:color w:val="000000" w:themeColor="text1"/>
          <w:sz w:val="28"/>
          <w:szCs w:val="28"/>
          <w14:textFill>
            <w14:solidFill>
              <w14:schemeClr w14:val="tx1"/>
            </w14:solidFill>
          </w14:textFill>
        </w:rPr>
        <w:t>项目业绩一览表</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项目名称：</w:t>
      </w:r>
      <w:r>
        <w:rPr>
          <w:rFonts w:hint="eastAsia" w:asciiTheme="minorEastAsia" w:hAnsiTheme="minorEastAsia" w:eastAsiaTheme="minorEastAsia"/>
          <w:kern w:val="28"/>
          <w:u w:val="single"/>
        </w:rPr>
        <w:t>20</w:t>
      </w:r>
      <w:r>
        <w:rPr>
          <w:rFonts w:hint="eastAsia" w:asciiTheme="minorEastAsia" w:hAnsiTheme="minorEastAsia" w:eastAsiaTheme="minorEastAsia"/>
          <w:kern w:val="28"/>
          <w:u w:val="single"/>
          <w:lang w:val="en-US" w:eastAsia="zh-CN"/>
        </w:rPr>
        <w:t>23-2024年度</w:t>
      </w:r>
      <w:r>
        <w:rPr>
          <w:rFonts w:hint="eastAsia" w:asciiTheme="minorEastAsia" w:hAnsiTheme="minorEastAsia" w:eastAsiaTheme="minorEastAsia"/>
          <w:kern w:val="28"/>
          <w:u w:val="single"/>
        </w:rPr>
        <w:t>粤传媒及下属分子公司年度机动车保险服务项目</w:t>
      </w:r>
    </w:p>
    <w:tbl>
      <w:tblPr>
        <w:tblStyle w:val="5"/>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260"/>
        <w:gridCol w:w="1846"/>
        <w:gridCol w:w="1676"/>
        <w:gridCol w:w="2002"/>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70" w:type="dxa"/>
            <w:shd w:val="clear" w:color="auto" w:fill="EEECE1"/>
            <w:vAlign w:val="center"/>
          </w:tcPr>
          <w:p>
            <w:pPr>
              <w:adjustRightInd w:val="0"/>
              <w:snapToGrid w:val="0"/>
              <w:spacing w:line="360" w:lineRule="auto"/>
              <w:ind w:left="-69" w:leftChars="-33" w:right="-97" w:rightChars="-46"/>
              <w:jc w:val="center"/>
              <w:rPr>
                <w:b/>
                <w:color w:val="000000"/>
              </w:rPr>
            </w:pPr>
            <w:r>
              <w:rPr>
                <w:rFonts w:hint="eastAsia"/>
                <w:b/>
                <w:color w:val="000000"/>
              </w:rPr>
              <w:t>序号</w:t>
            </w:r>
          </w:p>
        </w:tc>
        <w:tc>
          <w:tcPr>
            <w:tcW w:w="1260" w:type="dxa"/>
            <w:shd w:val="clear" w:color="auto" w:fill="EEECE1"/>
            <w:vAlign w:val="center"/>
          </w:tcPr>
          <w:p>
            <w:pPr>
              <w:adjustRightInd w:val="0"/>
              <w:snapToGrid w:val="0"/>
              <w:spacing w:line="360" w:lineRule="auto"/>
              <w:jc w:val="center"/>
              <w:rPr>
                <w:b/>
                <w:color w:val="000000"/>
              </w:rPr>
            </w:pPr>
            <w:r>
              <w:rPr>
                <w:rFonts w:hint="eastAsia"/>
                <w:b/>
                <w:color w:val="000000"/>
              </w:rPr>
              <w:t>项目名称</w:t>
            </w:r>
          </w:p>
        </w:tc>
        <w:tc>
          <w:tcPr>
            <w:tcW w:w="1846" w:type="dxa"/>
            <w:shd w:val="clear" w:color="auto" w:fill="EEECE1"/>
            <w:vAlign w:val="center"/>
          </w:tcPr>
          <w:p>
            <w:pPr>
              <w:adjustRightInd w:val="0"/>
              <w:snapToGrid w:val="0"/>
              <w:spacing w:line="360" w:lineRule="auto"/>
              <w:jc w:val="center"/>
              <w:rPr>
                <w:b/>
                <w:color w:val="000000"/>
              </w:rPr>
            </w:pPr>
            <w:r>
              <w:rPr>
                <w:rFonts w:hint="eastAsia"/>
                <w:b/>
                <w:color w:val="000000"/>
              </w:rPr>
              <w:t>客户名称</w:t>
            </w:r>
          </w:p>
        </w:tc>
        <w:tc>
          <w:tcPr>
            <w:tcW w:w="1676" w:type="dxa"/>
            <w:shd w:val="clear" w:color="auto" w:fill="EEECE1"/>
            <w:vAlign w:val="center"/>
          </w:tcPr>
          <w:p>
            <w:pPr>
              <w:adjustRightInd w:val="0"/>
              <w:snapToGrid w:val="0"/>
              <w:spacing w:line="360" w:lineRule="auto"/>
              <w:jc w:val="center"/>
              <w:rPr>
                <w:b/>
                <w:color w:val="000000"/>
              </w:rPr>
            </w:pPr>
            <w:r>
              <w:rPr>
                <w:rFonts w:hint="eastAsia"/>
                <w:b/>
                <w:color w:val="000000"/>
              </w:rPr>
              <w:t>合同内容</w:t>
            </w:r>
          </w:p>
        </w:tc>
        <w:tc>
          <w:tcPr>
            <w:tcW w:w="2002" w:type="dxa"/>
            <w:shd w:val="clear" w:color="auto" w:fill="EEECE1"/>
            <w:vAlign w:val="center"/>
          </w:tcPr>
          <w:p>
            <w:pPr>
              <w:adjustRightInd w:val="0"/>
              <w:snapToGrid w:val="0"/>
              <w:spacing w:line="360" w:lineRule="auto"/>
              <w:jc w:val="center"/>
              <w:rPr>
                <w:b/>
                <w:color w:val="000000"/>
              </w:rPr>
            </w:pPr>
            <w:r>
              <w:rPr>
                <w:rFonts w:hint="eastAsia"/>
                <w:b/>
                <w:color w:val="000000"/>
              </w:rPr>
              <w:t>合同金额</w:t>
            </w:r>
          </w:p>
        </w:tc>
        <w:tc>
          <w:tcPr>
            <w:tcW w:w="1907" w:type="dxa"/>
            <w:shd w:val="clear" w:color="auto" w:fill="EEECE1"/>
            <w:vAlign w:val="center"/>
          </w:tcPr>
          <w:p>
            <w:pPr>
              <w:adjustRightInd w:val="0"/>
              <w:snapToGrid w:val="0"/>
              <w:spacing w:line="360" w:lineRule="auto"/>
              <w:jc w:val="center"/>
              <w:rPr>
                <w:b/>
                <w:color w:val="000000"/>
              </w:rPr>
            </w:pPr>
            <w:r>
              <w:rPr>
                <w:rFonts w:hint="eastAsia"/>
                <w:b/>
                <w:color w:val="000000"/>
              </w:rPr>
              <w:t>合同生效时间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spacing w:line="360" w:lineRule="auto"/>
              <w:jc w:val="center"/>
              <w:rPr>
                <w:rFonts w:ascii="宋体" w:hAnsi="宋体"/>
                <w:color w:val="000000"/>
              </w:rPr>
            </w:pPr>
            <w:r>
              <w:rPr>
                <w:rFonts w:hint="eastAsia" w:ascii="宋体" w:hAnsi="宋体"/>
                <w:color w:val="000000"/>
              </w:rPr>
              <w:t>1</w:t>
            </w:r>
          </w:p>
        </w:tc>
        <w:tc>
          <w:tcPr>
            <w:tcW w:w="1260" w:type="dxa"/>
            <w:vAlign w:val="center"/>
          </w:tcPr>
          <w:p>
            <w:pPr>
              <w:spacing w:line="360" w:lineRule="auto"/>
              <w:jc w:val="center"/>
              <w:rPr>
                <w:color w:val="000000"/>
              </w:rPr>
            </w:pPr>
          </w:p>
        </w:tc>
        <w:tc>
          <w:tcPr>
            <w:tcW w:w="1846" w:type="dxa"/>
            <w:vAlign w:val="center"/>
          </w:tcPr>
          <w:p>
            <w:pPr>
              <w:spacing w:line="360" w:lineRule="auto"/>
              <w:jc w:val="center"/>
              <w:rPr>
                <w:color w:val="000000"/>
              </w:rPr>
            </w:pPr>
          </w:p>
        </w:tc>
        <w:tc>
          <w:tcPr>
            <w:tcW w:w="1676" w:type="dxa"/>
            <w:vAlign w:val="center"/>
          </w:tcPr>
          <w:p>
            <w:pPr>
              <w:spacing w:line="360" w:lineRule="auto"/>
              <w:jc w:val="center"/>
              <w:rPr>
                <w:color w:val="000000"/>
              </w:rPr>
            </w:pPr>
          </w:p>
        </w:tc>
        <w:tc>
          <w:tcPr>
            <w:tcW w:w="2002" w:type="dxa"/>
          </w:tcPr>
          <w:p>
            <w:pPr>
              <w:spacing w:line="360" w:lineRule="auto"/>
              <w:jc w:val="center"/>
              <w:rPr>
                <w:color w:val="000000"/>
              </w:rPr>
            </w:pPr>
          </w:p>
        </w:tc>
        <w:tc>
          <w:tcPr>
            <w:tcW w:w="1907"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spacing w:line="360" w:lineRule="auto"/>
              <w:jc w:val="center"/>
              <w:rPr>
                <w:rFonts w:ascii="宋体" w:hAnsi="宋体"/>
                <w:color w:val="000000"/>
              </w:rPr>
            </w:pPr>
            <w:r>
              <w:rPr>
                <w:rFonts w:hint="eastAsia" w:ascii="宋体" w:hAnsi="宋体"/>
                <w:color w:val="000000"/>
              </w:rPr>
              <w:t>2</w:t>
            </w:r>
          </w:p>
        </w:tc>
        <w:tc>
          <w:tcPr>
            <w:tcW w:w="1260" w:type="dxa"/>
            <w:vAlign w:val="center"/>
          </w:tcPr>
          <w:p>
            <w:pPr>
              <w:spacing w:line="360" w:lineRule="auto"/>
              <w:jc w:val="center"/>
              <w:rPr>
                <w:color w:val="000000"/>
              </w:rPr>
            </w:pPr>
          </w:p>
        </w:tc>
        <w:tc>
          <w:tcPr>
            <w:tcW w:w="1846" w:type="dxa"/>
            <w:vAlign w:val="center"/>
          </w:tcPr>
          <w:p>
            <w:pPr>
              <w:spacing w:line="360" w:lineRule="auto"/>
              <w:jc w:val="center"/>
              <w:rPr>
                <w:color w:val="000000"/>
              </w:rPr>
            </w:pPr>
          </w:p>
        </w:tc>
        <w:tc>
          <w:tcPr>
            <w:tcW w:w="1676" w:type="dxa"/>
            <w:vAlign w:val="center"/>
          </w:tcPr>
          <w:p>
            <w:pPr>
              <w:spacing w:line="360" w:lineRule="auto"/>
              <w:jc w:val="center"/>
              <w:rPr>
                <w:color w:val="000000"/>
              </w:rPr>
            </w:pPr>
          </w:p>
        </w:tc>
        <w:tc>
          <w:tcPr>
            <w:tcW w:w="2002" w:type="dxa"/>
          </w:tcPr>
          <w:p>
            <w:pPr>
              <w:spacing w:line="360" w:lineRule="auto"/>
              <w:jc w:val="center"/>
              <w:rPr>
                <w:color w:val="000000"/>
              </w:rPr>
            </w:pPr>
          </w:p>
        </w:tc>
        <w:tc>
          <w:tcPr>
            <w:tcW w:w="1907"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spacing w:line="360" w:lineRule="auto"/>
              <w:jc w:val="center"/>
              <w:rPr>
                <w:rFonts w:ascii="宋体" w:hAnsi="宋体"/>
                <w:color w:val="000000"/>
              </w:rPr>
            </w:pPr>
            <w:r>
              <w:rPr>
                <w:rFonts w:hint="eastAsia" w:ascii="宋体" w:hAnsi="宋体"/>
                <w:color w:val="000000"/>
              </w:rPr>
              <w:t>3</w:t>
            </w:r>
          </w:p>
        </w:tc>
        <w:tc>
          <w:tcPr>
            <w:tcW w:w="1260" w:type="dxa"/>
            <w:vAlign w:val="center"/>
          </w:tcPr>
          <w:p>
            <w:pPr>
              <w:spacing w:line="360" w:lineRule="auto"/>
              <w:jc w:val="center"/>
              <w:rPr>
                <w:color w:val="000000"/>
              </w:rPr>
            </w:pPr>
          </w:p>
        </w:tc>
        <w:tc>
          <w:tcPr>
            <w:tcW w:w="1846" w:type="dxa"/>
            <w:vAlign w:val="center"/>
          </w:tcPr>
          <w:p>
            <w:pPr>
              <w:spacing w:line="360" w:lineRule="auto"/>
              <w:jc w:val="center"/>
              <w:rPr>
                <w:color w:val="000000"/>
              </w:rPr>
            </w:pPr>
          </w:p>
        </w:tc>
        <w:tc>
          <w:tcPr>
            <w:tcW w:w="1676" w:type="dxa"/>
            <w:vAlign w:val="center"/>
          </w:tcPr>
          <w:p>
            <w:pPr>
              <w:spacing w:line="360" w:lineRule="auto"/>
              <w:jc w:val="center"/>
              <w:rPr>
                <w:color w:val="000000"/>
              </w:rPr>
            </w:pPr>
          </w:p>
        </w:tc>
        <w:tc>
          <w:tcPr>
            <w:tcW w:w="2002" w:type="dxa"/>
          </w:tcPr>
          <w:p>
            <w:pPr>
              <w:spacing w:line="360" w:lineRule="auto"/>
              <w:jc w:val="center"/>
              <w:rPr>
                <w:color w:val="000000"/>
              </w:rPr>
            </w:pPr>
          </w:p>
        </w:tc>
        <w:tc>
          <w:tcPr>
            <w:tcW w:w="1907"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spacing w:line="360" w:lineRule="auto"/>
              <w:jc w:val="center"/>
              <w:rPr>
                <w:rFonts w:ascii="宋体" w:hAnsi="宋体"/>
                <w:color w:val="000000"/>
              </w:rPr>
            </w:pPr>
            <w:r>
              <w:rPr>
                <w:rFonts w:hint="eastAsia" w:ascii="宋体" w:hAnsi="宋体"/>
                <w:color w:val="000000"/>
              </w:rPr>
              <w:t>4</w:t>
            </w:r>
          </w:p>
        </w:tc>
        <w:tc>
          <w:tcPr>
            <w:tcW w:w="1260" w:type="dxa"/>
            <w:vAlign w:val="center"/>
          </w:tcPr>
          <w:p>
            <w:pPr>
              <w:spacing w:line="360" w:lineRule="auto"/>
              <w:jc w:val="center"/>
              <w:rPr>
                <w:color w:val="000000"/>
              </w:rPr>
            </w:pPr>
          </w:p>
        </w:tc>
        <w:tc>
          <w:tcPr>
            <w:tcW w:w="1846" w:type="dxa"/>
            <w:vAlign w:val="center"/>
          </w:tcPr>
          <w:p>
            <w:pPr>
              <w:spacing w:line="360" w:lineRule="auto"/>
              <w:jc w:val="center"/>
              <w:rPr>
                <w:color w:val="000000"/>
              </w:rPr>
            </w:pPr>
          </w:p>
        </w:tc>
        <w:tc>
          <w:tcPr>
            <w:tcW w:w="1676" w:type="dxa"/>
            <w:vAlign w:val="center"/>
          </w:tcPr>
          <w:p>
            <w:pPr>
              <w:spacing w:line="360" w:lineRule="auto"/>
              <w:jc w:val="center"/>
              <w:rPr>
                <w:color w:val="000000"/>
              </w:rPr>
            </w:pPr>
          </w:p>
        </w:tc>
        <w:tc>
          <w:tcPr>
            <w:tcW w:w="2002" w:type="dxa"/>
          </w:tcPr>
          <w:p>
            <w:pPr>
              <w:spacing w:line="360" w:lineRule="auto"/>
              <w:jc w:val="center"/>
              <w:rPr>
                <w:color w:val="000000"/>
              </w:rPr>
            </w:pPr>
          </w:p>
        </w:tc>
        <w:tc>
          <w:tcPr>
            <w:tcW w:w="1907" w:type="dxa"/>
            <w:vAlign w:val="center"/>
          </w:tcPr>
          <w:p>
            <w:pPr>
              <w:spacing w:line="360" w:lineRule="auto"/>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spacing w:line="360" w:lineRule="auto"/>
              <w:jc w:val="center"/>
              <w:rPr>
                <w:rFonts w:ascii="宋体" w:hAnsi="宋体"/>
                <w:color w:val="000000"/>
              </w:rPr>
            </w:pPr>
            <w:r>
              <w:rPr>
                <w:rFonts w:hint="eastAsia" w:ascii="宋体" w:hAnsi="宋体"/>
                <w:color w:val="000000"/>
              </w:rPr>
              <w:t>5</w:t>
            </w:r>
          </w:p>
        </w:tc>
        <w:tc>
          <w:tcPr>
            <w:tcW w:w="1260" w:type="dxa"/>
            <w:vAlign w:val="center"/>
          </w:tcPr>
          <w:p>
            <w:pPr>
              <w:spacing w:line="360" w:lineRule="auto"/>
              <w:jc w:val="center"/>
              <w:rPr>
                <w:color w:val="000000"/>
              </w:rPr>
            </w:pPr>
          </w:p>
        </w:tc>
        <w:tc>
          <w:tcPr>
            <w:tcW w:w="1846" w:type="dxa"/>
            <w:vAlign w:val="center"/>
          </w:tcPr>
          <w:p>
            <w:pPr>
              <w:spacing w:line="360" w:lineRule="auto"/>
              <w:jc w:val="center"/>
              <w:rPr>
                <w:color w:val="000000"/>
              </w:rPr>
            </w:pPr>
          </w:p>
        </w:tc>
        <w:tc>
          <w:tcPr>
            <w:tcW w:w="1676" w:type="dxa"/>
            <w:vAlign w:val="center"/>
          </w:tcPr>
          <w:p>
            <w:pPr>
              <w:spacing w:line="360" w:lineRule="auto"/>
              <w:jc w:val="center"/>
              <w:rPr>
                <w:color w:val="000000"/>
              </w:rPr>
            </w:pPr>
          </w:p>
        </w:tc>
        <w:tc>
          <w:tcPr>
            <w:tcW w:w="2002" w:type="dxa"/>
          </w:tcPr>
          <w:p>
            <w:pPr>
              <w:spacing w:line="360" w:lineRule="auto"/>
              <w:jc w:val="center"/>
              <w:rPr>
                <w:color w:val="000000"/>
              </w:rPr>
            </w:pPr>
          </w:p>
        </w:tc>
        <w:tc>
          <w:tcPr>
            <w:tcW w:w="1907" w:type="dxa"/>
            <w:vAlign w:val="center"/>
          </w:tcPr>
          <w:p>
            <w:pPr>
              <w:spacing w:line="360" w:lineRule="auto"/>
              <w:jc w:val="center"/>
              <w:rPr>
                <w:color w:val="000000"/>
              </w:rPr>
            </w:pPr>
          </w:p>
        </w:tc>
      </w:tr>
    </w:tbl>
    <w:p>
      <w:pPr>
        <w:ind w:firstLine="420" w:firstLineChars="200"/>
        <w:rPr>
          <w:rFonts w:hint="eastAsia" w:asciiTheme="minorEastAsia" w:hAnsiTheme="minorEastAsia" w:eastAsiaTheme="minorEastAsia"/>
          <w:color w:val="000000" w:themeColor="text1"/>
          <w:szCs w:val="21"/>
          <w:lang w:val="en-US" w:eastAsia="zh-CN"/>
          <w14:textFill>
            <w14:solidFill>
              <w14:schemeClr w14:val="tx1"/>
            </w14:solidFill>
          </w14:textFill>
        </w:rPr>
      </w:pPr>
    </w:p>
    <w:p>
      <w:pPr>
        <w:ind w:firstLine="420" w:firstLineChars="200"/>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注：提供2021年1月1日至今同类项目业绩合同关键页复印件盖公章（年度承保广州市内单位机动车不少于60辆，以合同签订时间为准，须有具体的车数。）</w:t>
      </w:r>
    </w:p>
    <w:p>
      <w:pPr>
        <w:spacing w:line="360" w:lineRule="auto"/>
        <w:rPr>
          <w:rFonts w:hint="eastAsia" w:ascii="宋体" w:hAnsi="宋体"/>
          <w:color w:val="000000" w:themeColor="text1"/>
          <w:lang w:eastAsia="zh-CN"/>
          <w14:textFill>
            <w14:solidFill>
              <w14:schemeClr w14:val="tx1"/>
            </w14:solidFill>
          </w14:textFill>
        </w:rPr>
      </w:pPr>
    </w:p>
    <w:p>
      <w:pPr>
        <w:spacing w:line="360" w:lineRule="auto"/>
        <w:rPr>
          <w:rFonts w:hint="eastAsia" w:ascii="宋体" w:hAnsi="宋体"/>
          <w:color w:val="000000" w:themeColor="text1"/>
          <w:lang w:eastAsia="zh-CN"/>
          <w14:textFill>
            <w14:solidFill>
              <w14:schemeClr w14:val="tx1"/>
            </w14:solidFill>
          </w14:textFill>
        </w:rPr>
      </w:pPr>
    </w:p>
    <w:p>
      <w:pPr>
        <w:spacing w:line="360" w:lineRule="auto"/>
        <w:rPr>
          <w:rFonts w:hint="eastAsia" w:ascii="宋体" w:hAnsi="宋体"/>
          <w:color w:val="000000" w:themeColor="text1"/>
          <w:lang w:eastAsia="zh-CN"/>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报价人</w:t>
      </w:r>
      <w:r>
        <w:rPr>
          <w:rFonts w:hint="eastAsia" w:ascii="宋体" w:hAnsi="宋体"/>
          <w:color w:val="000000" w:themeColor="text1"/>
          <w14:textFill>
            <w14:solidFill>
              <w14:schemeClr w14:val="tx1"/>
            </w14:solidFill>
          </w14:textFill>
        </w:rPr>
        <w:t>（盖公章）：</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w:t>
      </w:r>
      <w:r>
        <w:rPr>
          <w:rFonts w:hint="eastAsia" w:ascii="宋体" w:hAnsi="宋体"/>
          <w:color w:val="000000" w:themeColor="text1"/>
          <w:lang w:eastAsia="zh-CN"/>
          <w14:textFill>
            <w14:solidFill>
              <w14:schemeClr w14:val="tx1"/>
            </w14:solidFill>
          </w14:textFill>
        </w:rPr>
        <w:t>报价人</w:t>
      </w:r>
      <w:r>
        <w:rPr>
          <w:rFonts w:hint="eastAsia" w:ascii="宋体" w:hAnsi="宋体"/>
          <w:color w:val="000000" w:themeColor="text1"/>
          <w14:textFill>
            <w14:solidFill>
              <w14:schemeClr w14:val="tx1"/>
            </w14:solidFill>
          </w14:textFill>
        </w:rPr>
        <w:t>授权代表（签名或盖章）：</w:t>
      </w:r>
    </w:p>
    <w:p>
      <w:pPr>
        <w:spacing w:line="360" w:lineRule="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日期：</w:t>
      </w:r>
    </w:p>
    <w:p>
      <w:pPr>
        <w:pStyle w:val="2"/>
        <w:rPr>
          <w:rFonts w:hint="eastAsia" w:ascii="宋体" w:hAnsi="宋体"/>
          <w:color w:val="000000" w:themeColor="text1"/>
          <w14:textFill>
            <w14:solidFill>
              <w14:schemeClr w14:val="tx1"/>
            </w14:solidFill>
          </w14:textFill>
        </w:rPr>
      </w:pPr>
    </w:p>
    <w:p>
      <w:pPr>
        <w:rPr>
          <w:rFonts w:hint="eastAsia" w:ascii="宋体" w:hAnsi="宋体"/>
          <w:color w:val="000000" w:themeColor="text1"/>
          <w14:textFill>
            <w14:solidFill>
              <w14:schemeClr w14:val="tx1"/>
            </w14:solidFill>
          </w14:textFill>
        </w:rPr>
      </w:pPr>
    </w:p>
    <w:p>
      <w:pPr>
        <w:pStyle w:val="2"/>
        <w:rPr>
          <w:rFonts w:hint="eastAsia" w:ascii="宋体" w:hAnsi="宋体"/>
          <w:color w:val="000000" w:themeColor="text1"/>
          <w14:textFill>
            <w14:solidFill>
              <w14:schemeClr w14:val="tx1"/>
            </w14:solidFill>
          </w14:textFill>
        </w:rPr>
      </w:pPr>
    </w:p>
    <w:p>
      <w:pPr>
        <w:rPr>
          <w:rFonts w:hint="eastAsia" w:ascii="宋体" w:hAnsi="宋体"/>
          <w:color w:val="000000" w:themeColor="text1"/>
          <w14:textFill>
            <w14:solidFill>
              <w14:schemeClr w14:val="tx1"/>
            </w14:solidFill>
          </w14:textFill>
        </w:rPr>
      </w:pPr>
    </w:p>
    <w:p>
      <w:pPr>
        <w:pStyle w:val="2"/>
        <w:rPr>
          <w:rFonts w:hint="eastAsia" w:ascii="宋体" w:hAnsi="宋体"/>
          <w:color w:val="000000" w:themeColor="text1"/>
          <w14:textFill>
            <w14:solidFill>
              <w14:schemeClr w14:val="tx1"/>
            </w14:solidFill>
          </w14:textFill>
        </w:rPr>
      </w:pPr>
    </w:p>
    <w:p>
      <w:pPr>
        <w:rPr>
          <w:rFonts w:hint="eastAsia" w:ascii="宋体" w:hAnsi="宋体"/>
          <w:color w:val="000000" w:themeColor="text1"/>
          <w14:textFill>
            <w14:solidFill>
              <w14:schemeClr w14:val="tx1"/>
            </w14:solidFill>
          </w14:textFill>
        </w:rPr>
      </w:pPr>
    </w:p>
    <w:p>
      <w:pPr>
        <w:pStyle w:val="2"/>
        <w:rPr>
          <w:rFonts w:hint="eastAsia" w:ascii="宋体" w:hAnsi="宋体"/>
          <w:color w:val="000000" w:themeColor="text1"/>
          <w14:textFill>
            <w14:solidFill>
              <w14:schemeClr w14:val="tx1"/>
            </w14:solidFill>
          </w14:textFill>
        </w:rPr>
      </w:pPr>
    </w:p>
    <w:p>
      <w:pPr>
        <w:rPr>
          <w:rFonts w:hint="eastAsia" w:ascii="宋体" w:hAnsi="宋体"/>
          <w:color w:val="000000" w:themeColor="text1"/>
          <w14:textFill>
            <w14:solidFill>
              <w14:schemeClr w14:val="tx1"/>
            </w14:solidFill>
          </w14:textFill>
        </w:rPr>
      </w:pPr>
    </w:p>
    <w:p>
      <w:pPr>
        <w:pStyle w:val="4"/>
        <w:ind w:firstLine="0" w:firstLineChars="0"/>
        <w:rPr>
          <w:rFonts w:hint="eastAsia" w:ascii="宋体" w:hAnsi="宋体" w:cs="宋体"/>
          <w:kern w:val="0"/>
          <w:sz w:val="28"/>
          <w:szCs w:val="28"/>
        </w:rPr>
      </w:pPr>
    </w:p>
    <w:p>
      <w:p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附件9.</w:t>
      </w:r>
    </w:p>
    <w:p>
      <w:pPr>
        <w:pStyle w:val="4"/>
        <w:ind w:firstLine="0" w:firstLineChars="0"/>
        <w:jc w:val="left"/>
        <w:rPr>
          <w:rFonts w:hint="eastAsia" w:ascii="宋体" w:hAnsi="宋体"/>
          <w:b/>
          <w:sz w:val="28"/>
          <w:szCs w:val="28"/>
        </w:rPr>
      </w:pPr>
    </w:p>
    <w:p>
      <w:pPr>
        <w:pStyle w:val="4"/>
        <w:ind w:firstLine="0" w:firstLineChars="0"/>
        <w:jc w:val="center"/>
        <w:rPr>
          <w:rFonts w:ascii="宋体" w:hAnsi="宋体"/>
          <w:b/>
          <w:sz w:val="28"/>
          <w:szCs w:val="28"/>
        </w:rPr>
      </w:pPr>
      <w:r>
        <w:rPr>
          <w:rFonts w:hint="eastAsia" w:ascii="宋体" w:hAnsi="宋体"/>
          <w:b/>
          <w:sz w:val="28"/>
          <w:szCs w:val="28"/>
        </w:rPr>
        <w:t>项目需求响应表</w:t>
      </w:r>
    </w:p>
    <w:p>
      <w:pPr>
        <w:rPr>
          <w:rFonts w:ascii="宋体" w:hAnsi="宋体"/>
          <w:b/>
          <w:sz w:val="24"/>
        </w:rPr>
      </w:pPr>
      <w:r>
        <w:rPr>
          <w:rFonts w:hint="eastAsia"/>
          <w:color w:val="000000" w:themeColor="text1"/>
          <w:szCs w:val="21"/>
          <w14:textFill>
            <w14:solidFill>
              <w14:schemeClr w14:val="tx1"/>
            </w14:solidFill>
          </w14:textFill>
        </w:rPr>
        <w:t>项目名称：</w:t>
      </w:r>
      <w:r>
        <w:rPr>
          <w:rFonts w:hint="eastAsia" w:asciiTheme="minorEastAsia" w:hAnsiTheme="minorEastAsia" w:eastAsiaTheme="minorEastAsia"/>
          <w:kern w:val="28"/>
          <w:u w:val="single"/>
        </w:rPr>
        <w:t>20</w:t>
      </w:r>
      <w:r>
        <w:rPr>
          <w:rFonts w:hint="eastAsia" w:asciiTheme="minorEastAsia" w:hAnsiTheme="minorEastAsia" w:eastAsiaTheme="minorEastAsia"/>
          <w:kern w:val="28"/>
          <w:u w:val="single"/>
          <w:lang w:val="en-US" w:eastAsia="zh-CN"/>
        </w:rPr>
        <w:t>23-2024年度</w:t>
      </w:r>
      <w:r>
        <w:rPr>
          <w:rFonts w:hint="eastAsia" w:asciiTheme="minorEastAsia" w:hAnsiTheme="minorEastAsia" w:eastAsiaTheme="minorEastAsia"/>
          <w:kern w:val="28"/>
          <w:u w:val="single"/>
        </w:rPr>
        <w:t>粤传媒及下属分子公司年度机动车保险服务项目</w:t>
      </w:r>
    </w:p>
    <w:tbl>
      <w:tblPr>
        <w:tblStyle w:val="5"/>
        <w:tblW w:w="97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773"/>
        <w:gridCol w:w="1732"/>
        <w:gridCol w:w="14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7"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项目</w:t>
            </w:r>
          </w:p>
        </w:tc>
        <w:tc>
          <w:tcPr>
            <w:tcW w:w="5773"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项目内容</w:t>
            </w:r>
          </w:p>
        </w:tc>
        <w:tc>
          <w:tcPr>
            <w:tcW w:w="1732" w:type="dxa"/>
          </w:tcPr>
          <w:p>
            <w:pPr>
              <w:widowControl/>
              <w:spacing w:line="360" w:lineRule="auto"/>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是否</w:t>
            </w:r>
          </w:p>
          <w:p>
            <w:pPr>
              <w:widowControl/>
              <w:spacing w:line="360" w:lineRule="auto"/>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完全响应或优于</w:t>
            </w:r>
          </w:p>
        </w:tc>
        <w:tc>
          <w:tcPr>
            <w:tcW w:w="1443"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7"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1</w:t>
            </w:r>
          </w:p>
        </w:tc>
        <w:tc>
          <w:tcPr>
            <w:tcW w:w="5773" w:type="dxa"/>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以下内容根据第</w:t>
            </w:r>
            <w:r>
              <w:rPr>
                <w:rFonts w:hint="eastAsia" w:asciiTheme="majorEastAsia" w:hAnsiTheme="majorEastAsia" w:eastAsiaTheme="majorEastAsia" w:cstheme="majorEastAsia"/>
                <w:sz w:val="21"/>
                <w:szCs w:val="21"/>
                <w:lang w:val="en-US" w:eastAsia="zh-CN"/>
              </w:rPr>
              <w:t>二</w:t>
            </w:r>
            <w:r>
              <w:rPr>
                <w:rFonts w:hint="eastAsia" w:asciiTheme="majorEastAsia" w:hAnsiTheme="majorEastAsia" w:eastAsiaTheme="majorEastAsia" w:cstheme="majorEastAsia"/>
                <w:sz w:val="21"/>
                <w:szCs w:val="21"/>
              </w:rPr>
              <w:t>部分项目需求</w:t>
            </w:r>
            <w:r>
              <w:rPr>
                <w:rFonts w:hint="eastAsia" w:asciiTheme="majorEastAsia" w:hAnsiTheme="majorEastAsia" w:eastAsiaTheme="majorEastAsia" w:cstheme="majorEastAsia"/>
                <w:sz w:val="21"/>
                <w:szCs w:val="21"/>
                <w:lang w:val="en-US" w:eastAsia="zh-CN"/>
              </w:rPr>
              <w:t>书</w:t>
            </w:r>
            <w:r>
              <w:rPr>
                <w:rFonts w:hint="eastAsia" w:asciiTheme="majorEastAsia" w:hAnsiTheme="majorEastAsia" w:eastAsiaTheme="majorEastAsia" w:cstheme="majorEastAsia"/>
                <w:sz w:val="21"/>
                <w:szCs w:val="21"/>
              </w:rPr>
              <w:t>、销售分公司</w:t>
            </w:r>
          </w:p>
          <w:p>
            <w:pPr>
              <w:widowControl/>
              <w:spacing w:line="360" w:lineRule="auto"/>
              <w:jc w:val="left"/>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sz w:val="21"/>
                <w:szCs w:val="21"/>
              </w:rPr>
              <w:t>年度汽车保险保障条款详细列举</w:t>
            </w:r>
          </w:p>
        </w:tc>
        <w:tc>
          <w:tcPr>
            <w:tcW w:w="1732" w:type="dxa"/>
          </w:tcPr>
          <w:p>
            <w:pPr>
              <w:widowControl/>
              <w:spacing w:line="360" w:lineRule="auto"/>
              <w:jc w:val="center"/>
              <w:rPr>
                <w:rFonts w:hint="eastAsia" w:asciiTheme="majorEastAsia" w:hAnsiTheme="majorEastAsia" w:eastAsiaTheme="majorEastAsia" w:cstheme="majorEastAsia"/>
                <w:b/>
                <w:bCs/>
                <w:kern w:val="0"/>
                <w:sz w:val="21"/>
                <w:szCs w:val="21"/>
              </w:rPr>
            </w:pPr>
          </w:p>
        </w:tc>
        <w:tc>
          <w:tcPr>
            <w:tcW w:w="1443"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7"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w:t>
            </w:r>
          </w:p>
        </w:tc>
        <w:tc>
          <w:tcPr>
            <w:tcW w:w="5773" w:type="dxa"/>
            <w:vAlign w:val="center"/>
          </w:tcPr>
          <w:p>
            <w:pPr>
              <w:widowControl/>
              <w:jc w:val="left"/>
              <w:rPr>
                <w:rFonts w:hint="eastAsia" w:asciiTheme="majorEastAsia" w:hAnsiTheme="majorEastAsia" w:eastAsiaTheme="majorEastAsia" w:cstheme="majorEastAsia"/>
                <w:sz w:val="21"/>
                <w:szCs w:val="21"/>
              </w:rPr>
            </w:pPr>
          </w:p>
        </w:tc>
        <w:tc>
          <w:tcPr>
            <w:tcW w:w="1732" w:type="dxa"/>
          </w:tcPr>
          <w:p>
            <w:pPr>
              <w:widowControl/>
              <w:spacing w:line="360" w:lineRule="auto"/>
              <w:jc w:val="center"/>
              <w:rPr>
                <w:rFonts w:hint="eastAsia" w:asciiTheme="majorEastAsia" w:hAnsiTheme="majorEastAsia" w:eastAsiaTheme="majorEastAsia" w:cstheme="majorEastAsia"/>
                <w:b/>
                <w:bCs/>
                <w:kern w:val="0"/>
                <w:sz w:val="21"/>
                <w:szCs w:val="21"/>
              </w:rPr>
            </w:pPr>
          </w:p>
        </w:tc>
        <w:tc>
          <w:tcPr>
            <w:tcW w:w="1443"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7"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r>
              <w:rPr>
                <w:rFonts w:hint="eastAsia" w:asciiTheme="majorEastAsia" w:hAnsiTheme="majorEastAsia" w:eastAsiaTheme="majorEastAsia" w:cstheme="majorEastAsia"/>
                <w:b/>
                <w:bCs/>
                <w:kern w:val="0"/>
                <w:sz w:val="21"/>
                <w:szCs w:val="21"/>
              </w:rPr>
              <w:t>……</w:t>
            </w:r>
          </w:p>
        </w:tc>
        <w:tc>
          <w:tcPr>
            <w:tcW w:w="5773"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p>
        </w:tc>
        <w:tc>
          <w:tcPr>
            <w:tcW w:w="1732" w:type="dxa"/>
          </w:tcPr>
          <w:p>
            <w:pPr>
              <w:widowControl/>
              <w:spacing w:line="360" w:lineRule="auto"/>
              <w:jc w:val="center"/>
              <w:rPr>
                <w:rFonts w:hint="eastAsia" w:asciiTheme="majorEastAsia" w:hAnsiTheme="majorEastAsia" w:eastAsiaTheme="majorEastAsia" w:cstheme="majorEastAsia"/>
                <w:b/>
                <w:bCs/>
                <w:kern w:val="0"/>
                <w:sz w:val="21"/>
                <w:szCs w:val="21"/>
              </w:rPr>
            </w:pPr>
          </w:p>
        </w:tc>
        <w:tc>
          <w:tcPr>
            <w:tcW w:w="1443"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7"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p>
        </w:tc>
        <w:tc>
          <w:tcPr>
            <w:tcW w:w="5773"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p>
        </w:tc>
        <w:tc>
          <w:tcPr>
            <w:tcW w:w="1732" w:type="dxa"/>
          </w:tcPr>
          <w:p>
            <w:pPr>
              <w:widowControl/>
              <w:spacing w:line="360" w:lineRule="auto"/>
              <w:jc w:val="center"/>
              <w:rPr>
                <w:rFonts w:hint="eastAsia" w:asciiTheme="majorEastAsia" w:hAnsiTheme="majorEastAsia" w:eastAsiaTheme="majorEastAsia" w:cstheme="majorEastAsia"/>
                <w:b/>
                <w:bCs/>
                <w:kern w:val="0"/>
                <w:sz w:val="21"/>
                <w:szCs w:val="21"/>
              </w:rPr>
            </w:pPr>
          </w:p>
        </w:tc>
        <w:tc>
          <w:tcPr>
            <w:tcW w:w="1443" w:type="dxa"/>
            <w:vAlign w:val="center"/>
          </w:tcPr>
          <w:p>
            <w:pPr>
              <w:widowControl/>
              <w:spacing w:line="360" w:lineRule="auto"/>
              <w:jc w:val="center"/>
              <w:rPr>
                <w:rFonts w:hint="eastAsia" w:asciiTheme="majorEastAsia" w:hAnsiTheme="majorEastAsia" w:eastAsiaTheme="majorEastAsia" w:cstheme="majorEastAsia"/>
                <w:b/>
                <w:bCs/>
                <w:kern w:val="0"/>
                <w:sz w:val="21"/>
                <w:szCs w:val="21"/>
              </w:rPr>
            </w:pPr>
          </w:p>
        </w:tc>
      </w:tr>
    </w:tbl>
    <w:p>
      <w:pPr>
        <w:pStyle w:val="4"/>
        <w:ind w:firstLine="0" w:firstLineChars="0"/>
        <w:rPr>
          <w:rFonts w:ascii="宋体" w:hAnsi="宋体"/>
          <w:b/>
          <w:sz w:val="28"/>
          <w:szCs w:val="28"/>
        </w:rPr>
      </w:pPr>
      <w:r>
        <w:rPr>
          <w:rFonts w:hint="eastAsia" w:ascii="宋体" w:hAnsi="宋体"/>
          <w:b/>
          <w:sz w:val="21"/>
          <w:szCs w:val="21"/>
        </w:rPr>
        <w:t>此表可延长</w:t>
      </w:r>
    </w:p>
    <w:p>
      <w:pPr>
        <w:pStyle w:val="2"/>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报价人</w:t>
      </w:r>
      <w:r>
        <w:rPr>
          <w:rFonts w:hint="eastAsia" w:ascii="宋体" w:hAnsi="宋体"/>
          <w:color w:val="000000" w:themeColor="text1"/>
          <w14:textFill>
            <w14:solidFill>
              <w14:schemeClr w14:val="tx1"/>
            </w14:solidFill>
          </w14:textFill>
        </w:rPr>
        <w:t>（盖公章）：</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w:t>
      </w:r>
      <w:r>
        <w:rPr>
          <w:rFonts w:hint="eastAsia" w:ascii="宋体" w:hAnsi="宋体"/>
          <w:color w:val="000000" w:themeColor="text1"/>
          <w:lang w:eastAsia="zh-CN"/>
          <w14:textFill>
            <w14:solidFill>
              <w14:schemeClr w14:val="tx1"/>
            </w14:solidFill>
          </w14:textFill>
        </w:rPr>
        <w:t>报价人</w:t>
      </w:r>
      <w:r>
        <w:rPr>
          <w:rFonts w:hint="eastAsia" w:ascii="宋体" w:hAnsi="宋体"/>
          <w:color w:val="000000" w:themeColor="text1"/>
          <w14:textFill>
            <w14:solidFill>
              <w14:schemeClr w14:val="tx1"/>
            </w14:solidFill>
          </w14:textFill>
        </w:rPr>
        <w:t>授权代表（签名或盖章）：</w:t>
      </w:r>
    </w:p>
    <w:p>
      <w:pPr>
        <w:spacing w:line="360" w:lineRule="auto"/>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日期：</w:t>
      </w:r>
    </w:p>
    <w:p>
      <w:pPr>
        <w:pStyle w:val="2"/>
        <w:rPr>
          <w:rFonts w:hint="eastAsia"/>
        </w:rPr>
      </w:pPr>
    </w:p>
    <w:sectPr>
      <w:footerReference r:id="rId6" w:type="default"/>
      <w:pgSz w:w="11907" w:h="16839"/>
      <w:pgMar w:top="1248" w:right="1414" w:bottom="1375" w:left="1579" w:header="0" w:footer="121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411"/>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409"/>
      <w:rPr>
        <w:rFonts w:ascii="Calibri" w:hAnsi="Calibri" w:eastAsia="Calibri" w:cs="Calibri"/>
        <w:sz w:val="18"/>
        <w:szCs w:val="18"/>
      </w:rPr>
    </w:pPr>
    <w:r>
      <w:rPr>
        <w:rFonts w:ascii="Calibri" w:hAnsi="Calibri" w:eastAsia="Calibri" w:cs="Calibri"/>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ED2B2"/>
    <w:multiLevelType w:val="singleLevel"/>
    <w:tmpl w:val="656ED2B2"/>
    <w:lvl w:ilvl="0" w:tentative="0">
      <w:start w:val="4"/>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I1MzljODBiNDliMzEyMzFlZWNlN2EzYjU0N2YzMWEifQ=="/>
  </w:docVars>
  <w:rsids>
    <w:rsidRoot w:val="00000000"/>
    <w:rsid w:val="01EA5B99"/>
    <w:rsid w:val="05D7130D"/>
    <w:rsid w:val="07FB6BDB"/>
    <w:rsid w:val="0A3D0766"/>
    <w:rsid w:val="0E3C3BB6"/>
    <w:rsid w:val="0ECC56D8"/>
    <w:rsid w:val="0FA638D0"/>
    <w:rsid w:val="0FB00BF3"/>
    <w:rsid w:val="11EE5A02"/>
    <w:rsid w:val="12AC015E"/>
    <w:rsid w:val="12F901BB"/>
    <w:rsid w:val="13681085"/>
    <w:rsid w:val="15035321"/>
    <w:rsid w:val="1A7A7E33"/>
    <w:rsid w:val="1AF32994"/>
    <w:rsid w:val="1B721452"/>
    <w:rsid w:val="1B836826"/>
    <w:rsid w:val="1DDC27E3"/>
    <w:rsid w:val="206046E7"/>
    <w:rsid w:val="216830DB"/>
    <w:rsid w:val="23960DB1"/>
    <w:rsid w:val="29E01A23"/>
    <w:rsid w:val="2C657D9D"/>
    <w:rsid w:val="2E7270C8"/>
    <w:rsid w:val="38C70290"/>
    <w:rsid w:val="3D09356D"/>
    <w:rsid w:val="3D605157"/>
    <w:rsid w:val="45A84D3B"/>
    <w:rsid w:val="4C215AB1"/>
    <w:rsid w:val="50C421B9"/>
    <w:rsid w:val="52BA4819"/>
    <w:rsid w:val="55F45FE4"/>
    <w:rsid w:val="599B6EA3"/>
    <w:rsid w:val="5B6339F0"/>
    <w:rsid w:val="5CAA5BAF"/>
    <w:rsid w:val="5D4A5E71"/>
    <w:rsid w:val="5E101510"/>
    <w:rsid w:val="5E824F54"/>
    <w:rsid w:val="6027052B"/>
    <w:rsid w:val="6B7B1AB7"/>
    <w:rsid w:val="6BBB5183"/>
    <w:rsid w:val="74915842"/>
    <w:rsid w:val="7667037A"/>
    <w:rsid w:val="7AF34646"/>
    <w:rsid w:val="7B383B62"/>
    <w:rsid w:val="7CD00C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qFormat/>
    <w:uiPriority w:val="0"/>
    <w:pPr>
      <w:spacing w:before="120" w:after="120" w:line="413" w:lineRule="auto"/>
      <w:outlineLvl w:val="2"/>
    </w:pPr>
    <w:rPr>
      <w:rFonts w:ascii="Arial" w:hAnsi="Arial" w:eastAsia="黑体"/>
      <w:b/>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spacing w:line="360" w:lineRule="auto"/>
      <w:ind w:firstLine="200" w:firstLineChars="200"/>
    </w:pPr>
    <w:rPr>
      <w:rFonts w:ascii="Arial" w:hAnsi="Arial" w:cs="Times New Roman"/>
      <w:szCs w:val="24"/>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正文缩进1"/>
    <w:basedOn w:val="1"/>
    <w:qFormat/>
    <w:uiPriority w:val="0"/>
    <w:pPr>
      <w:spacing w:line="360" w:lineRule="auto"/>
      <w:ind w:firstLine="200" w:firstLineChars="200"/>
    </w:pPr>
    <w:rPr>
      <w:rFonts w:ascii="Arial" w:hAnsi="Arial" w:eastAsia="宋体" w:cs="Times New Roman"/>
      <w:szCs w:val="24"/>
    </w:rPr>
  </w:style>
  <w:style w:type="paragraph" w:customStyle="1" w:styleId="9">
    <w:name w:val="正文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_2_0"/>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8887</Words>
  <Characters>9629</Characters>
  <TotalTime>133</TotalTime>
  <ScaleCrop>false</ScaleCrop>
  <LinksUpToDate>false</LinksUpToDate>
  <CharactersWithSpaces>9872</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2020-05-26T15:39:00Z</dcterms:created>
  <dc:creator>Tian</dc:creator>
  <cp:lastModifiedBy>召可</cp:lastModifiedBy>
  <dcterms:modified xsi:type="dcterms:W3CDTF">2022-11-23T06:35:32Z</dcterms:modified>
  <dc:title>租赁合同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2022-10-24T18:01:16Z</vt:filetime>
  </property>
  <property fmtid="{D5CDD505-2E9C-101B-9397-08002B2CF9AE}" pid="4" name="KSOProductBuildVer">
    <vt:lpwstr>2052-11.1.0.12598</vt:lpwstr>
  </property>
  <property fmtid="{D5CDD505-2E9C-101B-9397-08002B2CF9AE}" pid="5" name="ICV">
    <vt:lpwstr>80ABDCE154A84890B11A7196A8BFC5F6</vt:lpwstr>
  </property>
</Properties>
</file>